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2023年部门预算信息公开目录</w:t>
      </w:r>
    </w:p>
    <w:p>
      <w:pPr>
        <w:jc w:val="center"/>
      </w:pPr>
      <w:r>
        <w:rPr>
          <w:rFonts w:ascii="黑体" w:hAnsi="黑体" w:eastAsia="黑体" w:cs="黑体"/>
          <w:b/>
          <w:color w:val="000000"/>
          <w:sz w:val="30"/>
        </w:rPr>
        <w:t xml:space="preserve"> </w:t>
      </w:r>
    </w:p>
    <w:p>
      <w:pPr>
        <w:jc w:val="center"/>
      </w:pPr>
      <w:r>
        <w:rPr>
          <w:rFonts w:ascii="黑体" w:hAnsi="黑体" w:eastAsia="黑体" w:cs="黑体"/>
          <w:b/>
          <w:color w:val="000000"/>
          <w:sz w:val="30"/>
        </w:rPr>
        <w:t>第一部分  部门预算</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t>4</w:t>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t>6</w:t>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t>8</w:t>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t>10</w:t>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t>13</w:t>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t>15</w:t>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t>17</w:t>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t>18</w:t>
      </w:r>
      <w:r>
        <w:fldChar w:fldCharType="end"/>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t>19</w:t>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t>21</w:t>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t>22</w:t>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t>2</w:t>
      </w:r>
      <w:r>
        <w:rPr>
          <w:rFonts w:hint="eastAsia"/>
          <w:lang w:val="en-US" w:eastAsia="zh-CN"/>
        </w:rPr>
        <w:t>3</w:t>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t>23</w:t>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t>2</w:t>
      </w:r>
      <w:r>
        <w:rPr>
          <w:rFonts w:hint="eastAsia"/>
          <w:lang w:val="en-US" w:eastAsia="zh-CN"/>
        </w:rPr>
        <w:t>4</w:t>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w:t>
      </w:r>
      <w:r>
        <w:rPr>
          <w:rFonts w:hint="eastAsia"/>
          <w:lang w:val="en-US" w:eastAsia="zh-CN"/>
        </w:rPr>
        <w:t>9</w:t>
      </w:r>
      <w:r>
        <w:fldChar w:fldCharType="end"/>
      </w:r>
      <w:r>
        <w:fldChar w:fldCharType="end"/>
      </w:r>
    </w:p>
    <w:p>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w:t>
      </w:r>
      <w:r>
        <w:rPr>
          <w:rFonts w:hint="eastAsia"/>
          <w:lang w:val="en-US" w:eastAsia="zh-CN"/>
        </w:rPr>
        <w:t>9</w:t>
      </w:r>
      <w:r>
        <w:fldChar w:fldCharType="end"/>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4</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4</w:t>
      </w:r>
      <w:r>
        <w:fldChar w:fldCharType="end"/>
      </w:r>
      <w:r>
        <w:rPr>
          <w:rFonts w:hint="eastAsia"/>
          <w:lang w:val="en-US" w:eastAsia="zh-CN"/>
        </w:rPr>
        <w:t>1</w:t>
      </w:r>
    </w:p>
    <w:p>
      <w:r>
        <w:fldChar w:fldCharType="end"/>
      </w:r>
      <w:bookmarkStart w:id="18" w:name="_GoBack"/>
      <w:bookmarkEnd w:id="18"/>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eastAsia="黑体" w:cs="黑体" w:asciiTheme="minorHAnsi" w:hAnsiTheme="minorHAnsi"/>
          <w:b/>
          <w:color w:val="000000"/>
          <w:sz w:val="30"/>
          <w:lang w:val="uk-UA"/>
        </w:rPr>
      </w:pPr>
    </w:p>
    <w:p>
      <w:pPr>
        <w:jc w:val="center"/>
        <w:rPr>
          <w:rFonts w:asciiTheme="minorHAnsi" w:hAnsiTheme="minorHAnsi"/>
          <w:lang w:val="uk-UA"/>
        </w:rPr>
      </w:pPr>
    </w:p>
    <w:p>
      <w:pPr>
        <w:jc w:val="center"/>
        <w:rPr>
          <w:lang w:val="uk-UA"/>
        </w:rPr>
      </w:pPr>
      <w:r>
        <w:rPr>
          <w:rFonts w:ascii="方正小标宋_GBK" w:hAnsi="方正小标宋_GBK" w:eastAsia="方正小标宋_GBK" w:cs="方正小标宋_GBK"/>
          <w:color w:val="000000"/>
          <w:sz w:val="44"/>
        </w:rPr>
        <w:t xml:space="preserve"> </w:t>
      </w:r>
    </w:p>
    <w:p>
      <w:pPr>
        <w:jc w:val="center"/>
        <w:rPr>
          <w:lang w:val="uk-UA"/>
        </w:rPr>
      </w:pPr>
    </w:p>
    <w:p>
      <w:pPr>
        <w:jc w:val="center"/>
        <w:rPr>
          <w:lang w:val="uk-UA"/>
        </w:rPr>
      </w:pPr>
    </w:p>
    <w:p>
      <w:pPr>
        <w:jc w:val="center"/>
        <w:rPr>
          <w:lang w:val="uk-UA"/>
        </w:rPr>
      </w:pPr>
    </w:p>
    <w:p>
      <w:pPr>
        <w:jc w:val="center"/>
        <w:rPr>
          <w:lang w:val="uk-UA"/>
        </w:rPr>
      </w:pPr>
    </w:p>
    <w:p>
      <w:pPr>
        <w:jc w:val="center"/>
        <w:rPr>
          <w:lang w:val="uk-UA"/>
        </w:rPr>
      </w:pPr>
    </w:p>
    <w:p>
      <w:pPr>
        <w:jc w:val="center"/>
        <w:outlineLvl w:val="0"/>
        <w:sectPr>
          <w:headerReference r:id="rId3" w:type="default"/>
          <w:footerReference r:id="rId5" w:type="default"/>
          <w:headerReference r:id="rId4" w:type="even"/>
          <w:footerReference r:id="rId6"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t>530顺平县人民检察院</w:t>
            </w:r>
          </w:p>
        </w:tc>
        <w:tc>
          <w:tcPr>
            <w:tcW w:w="2126" w:type="dxa"/>
            <w:tcBorders>
              <w:top w:val="single" w:color="FFFFFF" w:sz="6" w:space="0"/>
              <w:left w:val="single" w:color="FFFFFF" w:sz="6" w:space="0"/>
              <w:right w:val="single" w:color="FFFFFF" w:sz="6" w:space="0"/>
            </w:tcBorders>
            <w:vAlign w:val="center"/>
          </w:tcPr>
          <w:p>
            <w:pPr>
              <w:pStyle w:val="12"/>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710.18</w:t>
            </w:r>
          </w:p>
        </w:tc>
        <w:tc>
          <w:tcPr>
            <w:tcW w:w="4535" w:type="dxa"/>
            <w:vAlign w:val="center"/>
          </w:tcPr>
          <w:p>
            <w:pPr>
              <w:pStyle w:val="16"/>
            </w:pPr>
            <w:r>
              <w:t>一、一般公共服务支出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r>
              <w:t>620.93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61.60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12.94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14.71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三十一、往来性支出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710.18</w:t>
            </w:r>
          </w:p>
        </w:tc>
        <w:tc>
          <w:tcPr>
            <w:tcW w:w="4535" w:type="dxa"/>
            <w:vAlign w:val="center"/>
          </w:tcPr>
          <w:p>
            <w:pPr>
              <w:pStyle w:val="18"/>
            </w:pPr>
            <w:r>
              <w:t>本年支出合计</w:t>
            </w:r>
          </w:p>
        </w:tc>
        <w:tc>
          <w:tcPr>
            <w:tcW w:w="2126" w:type="dxa"/>
            <w:vAlign w:val="center"/>
          </w:tcPr>
          <w:p>
            <w:pPr>
              <w:pStyle w:val="19"/>
            </w:pPr>
            <w:r>
              <w:t>710.18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710.18</w:t>
            </w:r>
          </w:p>
        </w:tc>
        <w:tc>
          <w:tcPr>
            <w:tcW w:w="4535" w:type="dxa"/>
            <w:vAlign w:val="center"/>
          </w:tcPr>
          <w:p>
            <w:pPr>
              <w:pStyle w:val="18"/>
            </w:pPr>
            <w:r>
              <w:t>支出总计</w:t>
            </w:r>
          </w:p>
        </w:tc>
        <w:tc>
          <w:tcPr>
            <w:tcW w:w="2126" w:type="dxa"/>
            <w:vAlign w:val="center"/>
          </w:tcPr>
          <w:p>
            <w:pPr>
              <w:pStyle w:val="19"/>
            </w:pPr>
            <w:r>
              <w:t>710.18</w:t>
            </w:r>
          </w:p>
        </w:tc>
      </w:tr>
    </w:tbl>
    <w:p>
      <w:pPr>
        <w:sectPr>
          <w:pgSz w:w="16840" w:h="11900" w:orient="landscape"/>
          <w:pgMar w:top="1361" w:right="1020" w:bottom="1134" w:left="1020" w:header="720" w:footer="720" w:gutter="0"/>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530顺平县人民检察院</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1"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710.18</w:t>
            </w:r>
          </w:p>
        </w:tc>
        <w:tc>
          <w:tcPr>
            <w:tcW w:w="1134" w:type="dxa"/>
            <w:vAlign w:val="center"/>
          </w:tcPr>
          <w:p>
            <w:pPr>
              <w:pStyle w:val="19"/>
            </w:pPr>
            <w:r>
              <w:t>710.18</w:t>
            </w:r>
          </w:p>
        </w:tc>
        <w:tc>
          <w:tcPr>
            <w:tcW w:w="1134" w:type="dxa"/>
            <w:vAlign w:val="center"/>
          </w:tcPr>
          <w:p>
            <w:pPr>
              <w:pStyle w:val="19"/>
            </w:pPr>
            <w:r>
              <w:t>710.18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204</w:t>
            </w:r>
          </w:p>
        </w:tc>
        <w:tc>
          <w:tcPr>
            <w:tcW w:w="1559" w:type="dxa"/>
            <w:vAlign w:val="center"/>
          </w:tcPr>
          <w:p>
            <w:pPr>
              <w:pStyle w:val="16"/>
            </w:pPr>
            <w:r>
              <w:t>公共安全支出</w:t>
            </w:r>
          </w:p>
        </w:tc>
        <w:tc>
          <w:tcPr>
            <w:tcW w:w="1134" w:type="dxa"/>
            <w:vAlign w:val="center"/>
          </w:tcPr>
          <w:p>
            <w:pPr>
              <w:pStyle w:val="15"/>
            </w:pPr>
            <w:r>
              <w:t>620.93</w:t>
            </w:r>
          </w:p>
        </w:tc>
        <w:tc>
          <w:tcPr>
            <w:tcW w:w="1134" w:type="dxa"/>
            <w:vAlign w:val="center"/>
          </w:tcPr>
          <w:p>
            <w:pPr>
              <w:pStyle w:val="15"/>
            </w:pPr>
            <w:r>
              <w:t>620.93</w:t>
            </w:r>
          </w:p>
        </w:tc>
        <w:tc>
          <w:tcPr>
            <w:tcW w:w="1134" w:type="dxa"/>
            <w:vAlign w:val="center"/>
          </w:tcPr>
          <w:p>
            <w:pPr>
              <w:pStyle w:val="15"/>
            </w:pPr>
            <w:r>
              <w:t>620.93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20404</w:t>
            </w:r>
          </w:p>
        </w:tc>
        <w:tc>
          <w:tcPr>
            <w:tcW w:w="1559" w:type="dxa"/>
            <w:vAlign w:val="center"/>
          </w:tcPr>
          <w:p>
            <w:pPr>
              <w:pStyle w:val="16"/>
            </w:pPr>
            <w:r>
              <w:t>检察</w:t>
            </w:r>
          </w:p>
        </w:tc>
        <w:tc>
          <w:tcPr>
            <w:tcW w:w="1134" w:type="dxa"/>
            <w:vAlign w:val="center"/>
          </w:tcPr>
          <w:p>
            <w:pPr>
              <w:pStyle w:val="15"/>
            </w:pPr>
            <w:r>
              <w:t>620.93</w:t>
            </w:r>
          </w:p>
        </w:tc>
        <w:tc>
          <w:tcPr>
            <w:tcW w:w="1134" w:type="dxa"/>
            <w:vAlign w:val="center"/>
          </w:tcPr>
          <w:p>
            <w:pPr>
              <w:pStyle w:val="15"/>
            </w:pPr>
            <w:r>
              <w:t>620.93</w:t>
            </w:r>
          </w:p>
        </w:tc>
        <w:tc>
          <w:tcPr>
            <w:tcW w:w="1134" w:type="dxa"/>
            <w:vAlign w:val="center"/>
          </w:tcPr>
          <w:p>
            <w:pPr>
              <w:pStyle w:val="15"/>
            </w:pPr>
            <w:r>
              <w:t>620.93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2040401</w:t>
            </w:r>
          </w:p>
        </w:tc>
        <w:tc>
          <w:tcPr>
            <w:tcW w:w="1559" w:type="dxa"/>
            <w:vAlign w:val="center"/>
          </w:tcPr>
          <w:p>
            <w:pPr>
              <w:pStyle w:val="16"/>
            </w:pPr>
            <w:r>
              <w:t>行政运行</w:t>
            </w:r>
          </w:p>
        </w:tc>
        <w:tc>
          <w:tcPr>
            <w:tcW w:w="1134" w:type="dxa"/>
            <w:vAlign w:val="center"/>
          </w:tcPr>
          <w:p>
            <w:pPr>
              <w:pStyle w:val="15"/>
            </w:pPr>
            <w:r>
              <w:t>483.83</w:t>
            </w:r>
          </w:p>
        </w:tc>
        <w:tc>
          <w:tcPr>
            <w:tcW w:w="1134" w:type="dxa"/>
            <w:vAlign w:val="center"/>
          </w:tcPr>
          <w:p>
            <w:pPr>
              <w:pStyle w:val="15"/>
            </w:pPr>
            <w:r>
              <w:t>483.83</w:t>
            </w:r>
          </w:p>
        </w:tc>
        <w:tc>
          <w:tcPr>
            <w:tcW w:w="1134" w:type="dxa"/>
            <w:vAlign w:val="center"/>
          </w:tcPr>
          <w:p>
            <w:pPr>
              <w:pStyle w:val="15"/>
            </w:pPr>
            <w:r>
              <w:t>483.83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2040402</w:t>
            </w:r>
          </w:p>
        </w:tc>
        <w:tc>
          <w:tcPr>
            <w:tcW w:w="1559" w:type="dxa"/>
            <w:vAlign w:val="center"/>
          </w:tcPr>
          <w:p>
            <w:pPr>
              <w:pStyle w:val="16"/>
            </w:pPr>
            <w:r>
              <w:t>一般行政管理事务</w:t>
            </w:r>
          </w:p>
        </w:tc>
        <w:tc>
          <w:tcPr>
            <w:tcW w:w="1134" w:type="dxa"/>
            <w:vAlign w:val="center"/>
          </w:tcPr>
          <w:p>
            <w:pPr>
              <w:pStyle w:val="15"/>
            </w:pPr>
            <w:r>
              <w:t>87.26</w:t>
            </w:r>
          </w:p>
        </w:tc>
        <w:tc>
          <w:tcPr>
            <w:tcW w:w="1134" w:type="dxa"/>
            <w:vAlign w:val="center"/>
          </w:tcPr>
          <w:p>
            <w:pPr>
              <w:pStyle w:val="15"/>
            </w:pPr>
            <w:r>
              <w:t>87.26</w:t>
            </w:r>
          </w:p>
        </w:tc>
        <w:tc>
          <w:tcPr>
            <w:tcW w:w="1134" w:type="dxa"/>
            <w:vAlign w:val="center"/>
          </w:tcPr>
          <w:p>
            <w:pPr>
              <w:pStyle w:val="15"/>
            </w:pPr>
            <w:r>
              <w:t>87.26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2040499</w:t>
            </w:r>
          </w:p>
        </w:tc>
        <w:tc>
          <w:tcPr>
            <w:tcW w:w="1559" w:type="dxa"/>
            <w:vAlign w:val="center"/>
          </w:tcPr>
          <w:p>
            <w:pPr>
              <w:pStyle w:val="16"/>
            </w:pPr>
            <w:r>
              <w:t>其他检察支出</w:t>
            </w:r>
          </w:p>
        </w:tc>
        <w:tc>
          <w:tcPr>
            <w:tcW w:w="1134" w:type="dxa"/>
            <w:vAlign w:val="center"/>
          </w:tcPr>
          <w:p>
            <w:pPr>
              <w:pStyle w:val="15"/>
            </w:pPr>
            <w:r>
              <w:t>49.84</w:t>
            </w:r>
          </w:p>
        </w:tc>
        <w:tc>
          <w:tcPr>
            <w:tcW w:w="1134" w:type="dxa"/>
            <w:vAlign w:val="center"/>
          </w:tcPr>
          <w:p>
            <w:pPr>
              <w:pStyle w:val="15"/>
            </w:pPr>
            <w:r>
              <w:t>49.84</w:t>
            </w:r>
          </w:p>
        </w:tc>
        <w:tc>
          <w:tcPr>
            <w:tcW w:w="1134" w:type="dxa"/>
            <w:vAlign w:val="center"/>
          </w:tcPr>
          <w:p>
            <w:pPr>
              <w:pStyle w:val="15"/>
            </w:pPr>
            <w:r>
              <w:t>49.84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61.60</w:t>
            </w:r>
          </w:p>
        </w:tc>
        <w:tc>
          <w:tcPr>
            <w:tcW w:w="1134" w:type="dxa"/>
            <w:vAlign w:val="center"/>
          </w:tcPr>
          <w:p>
            <w:pPr>
              <w:pStyle w:val="15"/>
            </w:pPr>
            <w:r>
              <w:t>61.60</w:t>
            </w:r>
          </w:p>
        </w:tc>
        <w:tc>
          <w:tcPr>
            <w:tcW w:w="1134" w:type="dxa"/>
            <w:vAlign w:val="center"/>
          </w:tcPr>
          <w:p>
            <w:pPr>
              <w:pStyle w:val="15"/>
            </w:pPr>
            <w:r>
              <w:t>61.60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60.65</w:t>
            </w:r>
          </w:p>
        </w:tc>
        <w:tc>
          <w:tcPr>
            <w:tcW w:w="1134" w:type="dxa"/>
            <w:vAlign w:val="center"/>
          </w:tcPr>
          <w:p>
            <w:pPr>
              <w:pStyle w:val="15"/>
            </w:pPr>
            <w:r>
              <w:t>60.65</w:t>
            </w:r>
          </w:p>
        </w:tc>
        <w:tc>
          <w:tcPr>
            <w:tcW w:w="1134" w:type="dxa"/>
            <w:vAlign w:val="center"/>
          </w:tcPr>
          <w:p>
            <w:pPr>
              <w:pStyle w:val="15"/>
            </w:pPr>
            <w:r>
              <w:t>60.65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pPr>
            <w:r>
              <w:t>27.51</w:t>
            </w:r>
          </w:p>
        </w:tc>
        <w:tc>
          <w:tcPr>
            <w:tcW w:w="1134" w:type="dxa"/>
            <w:vAlign w:val="center"/>
          </w:tcPr>
          <w:p>
            <w:pPr>
              <w:pStyle w:val="15"/>
            </w:pPr>
            <w:r>
              <w:t>27.51</w:t>
            </w:r>
          </w:p>
        </w:tc>
        <w:tc>
          <w:tcPr>
            <w:tcW w:w="1134" w:type="dxa"/>
            <w:vAlign w:val="center"/>
          </w:tcPr>
          <w:p>
            <w:pPr>
              <w:pStyle w:val="15"/>
            </w:pPr>
            <w:r>
              <w:t>27.51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33.14</w:t>
            </w:r>
          </w:p>
        </w:tc>
        <w:tc>
          <w:tcPr>
            <w:tcW w:w="1134" w:type="dxa"/>
            <w:vAlign w:val="center"/>
          </w:tcPr>
          <w:p>
            <w:pPr>
              <w:pStyle w:val="15"/>
            </w:pPr>
            <w:r>
              <w:t>33.14</w:t>
            </w:r>
          </w:p>
        </w:tc>
        <w:tc>
          <w:tcPr>
            <w:tcW w:w="1134" w:type="dxa"/>
            <w:vAlign w:val="center"/>
          </w:tcPr>
          <w:p>
            <w:pPr>
              <w:pStyle w:val="15"/>
            </w:pPr>
            <w:r>
              <w:t>33.14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20827</w:t>
            </w:r>
          </w:p>
        </w:tc>
        <w:tc>
          <w:tcPr>
            <w:tcW w:w="1559" w:type="dxa"/>
            <w:vAlign w:val="center"/>
          </w:tcPr>
          <w:p>
            <w:pPr>
              <w:pStyle w:val="16"/>
            </w:pPr>
            <w:r>
              <w:t>财政对其他社会保险基金的补助</w:t>
            </w:r>
          </w:p>
        </w:tc>
        <w:tc>
          <w:tcPr>
            <w:tcW w:w="1134" w:type="dxa"/>
            <w:vAlign w:val="center"/>
          </w:tcPr>
          <w:p>
            <w:pPr>
              <w:pStyle w:val="15"/>
            </w:pPr>
            <w:r>
              <w:t>0.95</w:t>
            </w:r>
          </w:p>
        </w:tc>
        <w:tc>
          <w:tcPr>
            <w:tcW w:w="1134" w:type="dxa"/>
            <w:vAlign w:val="center"/>
          </w:tcPr>
          <w:p>
            <w:pPr>
              <w:pStyle w:val="15"/>
            </w:pPr>
            <w:r>
              <w:t>0.95</w:t>
            </w:r>
          </w:p>
        </w:tc>
        <w:tc>
          <w:tcPr>
            <w:tcW w:w="1134" w:type="dxa"/>
            <w:vAlign w:val="center"/>
          </w:tcPr>
          <w:p>
            <w:pPr>
              <w:pStyle w:val="15"/>
            </w:pPr>
            <w:r>
              <w:t>0.95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2082702</w:t>
            </w:r>
          </w:p>
        </w:tc>
        <w:tc>
          <w:tcPr>
            <w:tcW w:w="1559" w:type="dxa"/>
            <w:vAlign w:val="center"/>
          </w:tcPr>
          <w:p>
            <w:pPr>
              <w:pStyle w:val="16"/>
            </w:pPr>
            <w:r>
              <w:t>财政对工伤保险基金的补助</w:t>
            </w:r>
          </w:p>
        </w:tc>
        <w:tc>
          <w:tcPr>
            <w:tcW w:w="1134" w:type="dxa"/>
            <w:vAlign w:val="center"/>
          </w:tcPr>
          <w:p>
            <w:pPr>
              <w:pStyle w:val="15"/>
            </w:pPr>
            <w:r>
              <w:t>0.95</w:t>
            </w:r>
          </w:p>
        </w:tc>
        <w:tc>
          <w:tcPr>
            <w:tcW w:w="1134" w:type="dxa"/>
            <w:vAlign w:val="center"/>
          </w:tcPr>
          <w:p>
            <w:pPr>
              <w:pStyle w:val="15"/>
            </w:pPr>
            <w:r>
              <w:t>0.95</w:t>
            </w:r>
          </w:p>
        </w:tc>
        <w:tc>
          <w:tcPr>
            <w:tcW w:w="1134" w:type="dxa"/>
            <w:vAlign w:val="center"/>
          </w:tcPr>
          <w:p>
            <w:pPr>
              <w:pStyle w:val="15"/>
            </w:pPr>
            <w:r>
              <w:t>0.95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12.94</w:t>
            </w:r>
          </w:p>
        </w:tc>
        <w:tc>
          <w:tcPr>
            <w:tcW w:w="1134" w:type="dxa"/>
            <w:vAlign w:val="center"/>
          </w:tcPr>
          <w:p>
            <w:pPr>
              <w:pStyle w:val="15"/>
            </w:pPr>
            <w:r>
              <w:t>12.94</w:t>
            </w:r>
          </w:p>
        </w:tc>
        <w:tc>
          <w:tcPr>
            <w:tcW w:w="1134" w:type="dxa"/>
            <w:vAlign w:val="center"/>
          </w:tcPr>
          <w:p>
            <w:pPr>
              <w:pStyle w:val="15"/>
            </w:pPr>
            <w:r>
              <w:t>12.94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12.94</w:t>
            </w:r>
          </w:p>
        </w:tc>
        <w:tc>
          <w:tcPr>
            <w:tcW w:w="1134" w:type="dxa"/>
            <w:vAlign w:val="center"/>
          </w:tcPr>
          <w:p>
            <w:pPr>
              <w:pStyle w:val="15"/>
            </w:pPr>
            <w:r>
              <w:t>12.94</w:t>
            </w:r>
          </w:p>
        </w:tc>
        <w:tc>
          <w:tcPr>
            <w:tcW w:w="1134" w:type="dxa"/>
            <w:vAlign w:val="center"/>
          </w:tcPr>
          <w:p>
            <w:pPr>
              <w:pStyle w:val="15"/>
            </w:pPr>
            <w:r>
              <w:t>12.94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pPr>
            <w:r>
              <w:t>12.93</w:t>
            </w:r>
          </w:p>
        </w:tc>
        <w:tc>
          <w:tcPr>
            <w:tcW w:w="1134" w:type="dxa"/>
            <w:vAlign w:val="center"/>
          </w:tcPr>
          <w:p>
            <w:pPr>
              <w:pStyle w:val="15"/>
            </w:pPr>
            <w:r>
              <w:t>12.93</w:t>
            </w:r>
          </w:p>
        </w:tc>
        <w:tc>
          <w:tcPr>
            <w:tcW w:w="1134" w:type="dxa"/>
            <w:vAlign w:val="center"/>
          </w:tcPr>
          <w:p>
            <w:pPr>
              <w:pStyle w:val="15"/>
            </w:pPr>
            <w:r>
              <w:t>12.93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2101103</w:t>
            </w:r>
          </w:p>
        </w:tc>
        <w:tc>
          <w:tcPr>
            <w:tcW w:w="1559" w:type="dxa"/>
            <w:vAlign w:val="center"/>
          </w:tcPr>
          <w:p>
            <w:pPr>
              <w:pStyle w:val="16"/>
            </w:pPr>
            <w:r>
              <w:t>公务员医疗补助</w:t>
            </w:r>
          </w:p>
        </w:tc>
        <w:tc>
          <w:tcPr>
            <w:tcW w:w="1134" w:type="dxa"/>
            <w:vAlign w:val="center"/>
          </w:tcPr>
          <w:p>
            <w:pPr>
              <w:pStyle w:val="15"/>
            </w:pPr>
            <w:r>
              <w:t>0.01</w:t>
            </w:r>
          </w:p>
        </w:tc>
        <w:tc>
          <w:tcPr>
            <w:tcW w:w="1134" w:type="dxa"/>
            <w:vAlign w:val="center"/>
          </w:tcPr>
          <w:p>
            <w:pPr>
              <w:pStyle w:val="15"/>
            </w:pPr>
            <w:r>
              <w:t>0.01</w:t>
            </w:r>
          </w:p>
        </w:tc>
        <w:tc>
          <w:tcPr>
            <w:tcW w:w="1134" w:type="dxa"/>
            <w:vAlign w:val="center"/>
          </w:tcPr>
          <w:p>
            <w:pPr>
              <w:pStyle w:val="15"/>
            </w:pPr>
            <w:r>
              <w:t>0.01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14.71</w:t>
            </w:r>
          </w:p>
        </w:tc>
        <w:tc>
          <w:tcPr>
            <w:tcW w:w="1134" w:type="dxa"/>
            <w:vAlign w:val="center"/>
          </w:tcPr>
          <w:p>
            <w:pPr>
              <w:pStyle w:val="15"/>
            </w:pPr>
            <w:r>
              <w:t>14.71</w:t>
            </w:r>
          </w:p>
        </w:tc>
        <w:tc>
          <w:tcPr>
            <w:tcW w:w="1134" w:type="dxa"/>
            <w:vAlign w:val="center"/>
          </w:tcPr>
          <w:p>
            <w:pPr>
              <w:pStyle w:val="15"/>
            </w:pPr>
            <w:r>
              <w:t>14.71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14.71</w:t>
            </w:r>
          </w:p>
        </w:tc>
        <w:tc>
          <w:tcPr>
            <w:tcW w:w="1134" w:type="dxa"/>
            <w:vAlign w:val="center"/>
          </w:tcPr>
          <w:p>
            <w:pPr>
              <w:pStyle w:val="15"/>
            </w:pPr>
            <w:r>
              <w:t>14.71</w:t>
            </w:r>
          </w:p>
        </w:tc>
        <w:tc>
          <w:tcPr>
            <w:tcW w:w="1134" w:type="dxa"/>
            <w:vAlign w:val="center"/>
          </w:tcPr>
          <w:p>
            <w:pPr>
              <w:pStyle w:val="15"/>
            </w:pPr>
            <w:r>
              <w:t>14.71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14.71</w:t>
            </w:r>
          </w:p>
        </w:tc>
        <w:tc>
          <w:tcPr>
            <w:tcW w:w="1134" w:type="dxa"/>
            <w:vAlign w:val="center"/>
          </w:tcPr>
          <w:p>
            <w:pPr>
              <w:pStyle w:val="15"/>
            </w:pPr>
            <w:r>
              <w:t>14.71</w:t>
            </w:r>
          </w:p>
        </w:tc>
        <w:tc>
          <w:tcPr>
            <w:tcW w:w="1134" w:type="dxa"/>
            <w:vAlign w:val="center"/>
          </w:tcPr>
          <w:p>
            <w:pPr>
              <w:pStyle w:val="15"/>
            </w:pPr>
            <w:r>
              <w:t>14.71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2721" w:type="dxa"/>
            <w:gridSpan w:val="2"/>
            <w:tcBorders>
              <w:top w:val="single" w:color="FFFFFF" w:sz="6" w:space="0"/>
              <w:left w:val="single" w:color="FFFFFF" w:sz="6" w:space="0"/>
              <w:right w:val="single" w:color="FFFFFF" w:sz="6" w:space="0"/>
            </w:tcBorders>
            <w:vAlign w:val="center"/>
          </w:tcPr>
          <w:p>
            <w:pPr>
              <w:pStyle w:val="12"/>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710.18</w:t>
            </w:r>
          </w:p>
        </w:tc>
        <w:tc>
          <w:tcPr>
            <w:tcW w:w="1361" w:type="dxa"/>
            <w:vAlign w:val="center"/>
          </w:tcPr>
          <w:p>
            <w:pPr>
              <w:pStyle w:val="19"/>
            </w:pPr>
            <w:r>
              <w:t>367.37</w:t>
            </w:r>
          </w:p>
        </w:tc>
        <w:tc>
          <w:tcPr>
            <w:tcW w:w="1361" w:type="dxa"/>
            <w:vAlign w:val="center"/>
          </w:tcPr>
          <w:p>
            <w:pPr>
              <w:pStyle w:val="19"/>
            </w:pPr>
            <w:r>
              <w:t>342.81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204</w:t>
            </w:r>
          </w:p>
        </w:tc>
        <w:tc>
          <w:tcPr>
            <w:tcW w:w="4535" w:type="dxa"/>
            <w:vAlign w:val="center"/>
          </w:tcPr>
          <w:p>
            <w:pPr>
              <w:pStyle w:val="16"/>
            </w:pPr>
            <w:r>
              <w:t>公共安全支出</w:t>
            </w:r>
          </w:p>
        </w:tc>
        <w:tc>
          <w:tcPr>
            <w:tcW w:w="1361" w:type="dxa"/>
            <w:vAlign w:val="center"/>
          </w:tcPr>
          <w:p>
            <w:pPr>
              <w:pStyle w:val="15"/>
            </w:pPr>
            <w:r>
              <w:t>620.93</w:t>
            </w:r>
          </w:p>
        </w:tc>
        <w:tc>
          <w:tcPr>
            <w:tcW w:w="1361" w:type="dxa"/>
            <w:vAlign w:val="center"/>
          </w:tcPr>
          <w:p>
            <w:pPr>
              <w:pStyle w:val="15"/>
            </w:pPr>
            <w:r>
              <w:t>278.12</w:t>
            </w:r>
          </w:p>
        </w:tc>
        <w:tc>
          <w:tcPr>
            <w:tcW w:w="1361" w:type="dxa"/>
            <w:vAlign w:val="center"/>
          </w:tcPr>
          <w:p>
            <w:pPr>
              <w:pStyle w:val="15"/>
            </w:pPr>
            <w:r>
              <w:t>342.81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20404</w:t>
            </w:r>
          </w:p>
        </w:tc>
        <w:tc>
          <w:tcPr>
            <w:tcW w:w="4535" w:type="dxa"/>
            <w:vAlign w:val="center"/>
          </w:tcPr>
          <w:p>
            <w:pPr>
              <w:pStyle w:val="16"/>
            </w:pPr>
            <w:r>
              <w:t>检察</w:t>
            </w:r>
          </w:p>
        </w:tc>
        <w:tc>
          <w:tcPr>
            <w:tcW w:w="1361" w:type="dxa"/>
            <w:vAlign w:val="center"/>
          </w:tcPr>
          <w:p>
            <w:pPr>
              <w:pStyle w:val="15"/>
            </w:pPr>
            <w:r>
              <w:t>620.93</w:t>
            </w:r>
          </w:p>
        </w:tc>
        <w:tc>
          <w:tcPr>
            <w:tcW w:w="1361" w:type="dxa"/>
            <w:vAlign w:val="center"/>
          </w:tcPr>
          <w:p>
            <w:pPr>
              <w:pStyle w:val="15"/>
            </w:pPr>
            <w:r>
              <w:t>278.12</w:t>
            </w:r>
          </w:p>
        </w:tc>
        <w:tc>
          <w:tcPr>
            <w:tcW w:w="1361" w:type="dxa"/>
            <w:vAlign w:val="center"/>
          </w:tcPr>
          <w:p>
            <w:pPr>
              <w:pStyle w:val="15"/>
            </w:pPr>
            <w:r>
              <w:t>342.81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2040401</w:t>
            </w:r>
          </w:p>
        </w:tc>
        <w:tc>
          <w:tcPr>
            <w:tcW w:w="4535" w:type="dxa"/>
            <w:vAlign w:val="center"/>
          </w:tcPr>
          <w:p>
            <w:pPr>
              <w:pStyle w:val="16"/>
            </w:pPr>
            <w:r>
              <w:t>行政运行</w:t>
            </w:r>
          </w:p>
        </w:tc>
        <w:tc>
          <w:tcPr>
            <w:tcW w:w="1361" w:type="dxa"/>
            <w:vAlign w:val="center"/>
          </w:tcPr>
          <w:p>
            <w:pPr>
              <w:pStyle w:val="15"/>
            </w:pPr>
            <w:r>
              <w:t>483.83</w:t>
            </w:r>
          </w:p>
        </w:tc>
        <w:tc>
          <w:tcPr>
            <w:tcW w:w="1361" w:type="dxa"/>
            <w:vAlign w:val="center"/>
          </w:tcPr>
          <w:p>
            <w:pPr>
              <w:pStyle w:val="15"/>
            </w:pPr>
            <w:r>
              <w:t>278.12</w:t>
            </w:r>
          </w:p>
        </w:tc>
        <w:tc>
          <w:tcPr>
            <w:tcW w:w="1361" w:type="dxa"/>
            <w:vAlign w:val="center"/>
          </w:tcPr>
          <w:p>
            <w:pPr>
              <w:pStyle w:val="15"/>
            </w:pPr>
            <w:r>
              <w:t>205.71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2040402</w:t>
            </w:r>
          </w:p>
        </w:tc>
        <w:tc>
          <w:tcPr>
            <w:tcW w:w="4535" w:type="dxa"/>
            <w:vAlign w:val="center"/>
          </w:tcPr>
          <w:p>
            <w:pPr>
              <w:pStyle w:val="16"/>
            </w:pPr>
            <w:r>
              <w:t>一般行政管理事务</w:t>
            </w:r>
          </w:p>
        </w:tc>
        <w:tc>
          <w:tcPr>
            <w:tcW w:w="1361" w:type="dxa"/>
            <w:vAlign w:val="center"/>
          </w:tcPr>
          <w:p>
            <w:pPr>
              <w:pStyle w:val="15"/>
            </w:pPr>
            <w:r>
              <w:t>87.26</w:t>
            </w:r>
          </w:p>
        </w:tc>
        <w:tc>
          <w:tcPr>
            <w:tcW w:w="1361" w:type="dxa"/>
            <w:vAlign w:val="center"/>
          </w:tcPr>
          <w:p>
            <w:pPr>
              <w:pStyle w:val="15"/>
            </w:pPr>
          </w:p>
        </w:tc>
        <w:tc>
          <w:tcPr>
            <w:tcW w:w="1361" w:type="dxa"/>
            <w:vAlign w:val="center"/>
          </w:tcPr>
          <w:p>
            <w:pPr>
              <w:pStyle w:val="15"/>
            </w:pPr>
            <w:r>
              <w:t>87.26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2040499</w:t>
            </w:r>
          </w:p>
        </w:tc>
        <w:tc>
          <w:tcPr>
            <w:tcW w:w="4535" w:type="dxa"/>
            <w:vAlign w:val="center"/>
          </w:tcPr>
          <w:p>
            <w:pPr>
              <w:pStyle w:val="16"/>
            </w:pPr>
            <w:r>
              <w:t>其他检察支出</w:t>
            </w:r>
          </w:p>
        </w:tc>
        <w:tc>
          <w:tcPr>
            <w:tcW w:w="1361" w:type="dxa"/>
            <w:vAlign w:val="center"/>
          </w:tcPr>
          <w:p>
            <w:pPr>
              <w:pStyle w:val="15"/>
            </w:pPr>
            <w:r>
              <w:t>49.84</w:t>
            </w:r>
          </w:p>
        </w:tc>
        <w:tc>
          <w:tcPr>
            <w:tcW w:w="1361" w:type="dxa"/>
            <w:vAlign w:val="center"/>
          </w:tcPr>
          <w:p>
            <w:pPr>
              <w:pStyle w:val="15"/>
            </w:pPr>
          </w:p>
        </w:tc>
        <w:tc>
          <w:tcPr>
            <w:tcW w:w="1361" w:type="dxa"/>
            <w:vAlign w:val="center"/>
          </w:tcPr>
          <w:p>
            <w:pPr>
              <w:pStyle w:val="15"/>
            </w:pPr>
            <w:r>
              <w:t>49.84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61.60</w:t>
            </w:r>
          </w:p>
        </w:tc>
        <w:tc>
          <w:tcPr>
            <w:tcW w:w="1361" w:type="dxa"/>
            <w:vAlign w:val="center"/>
          </w:tcPr>
          <w:p>
            <w:pPr>
              <w:pStyle w:val="15"/>
            </w:pPr>
            <w:r>
              <w:t>61.60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60.65</w:t>
            </w:r>
          </w:p>
        </w:tc>
        <w:tc>
          <w:tcPr>
            <w:tcW w:w="1361" w:type="dxa"/>
            <w:vAlign w:val="center"/>
          </w:tcPr>
          <w:p>
            <w:pPr>
              <w:pStyle w:val="15"/>
            </w:pPr>
            <w:r>
              <w:t>60.65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2080501</w:t>
            </w:r>
          </w:p>
        </w:tc>
        <w:tc>
          <w:tcPr>
            <w:tcW w:w="4535" w:type="dxa"/>
            <w:vAlign w:val="center"/>
          </w:tcPr>
          <w:p>
            <w:pPr>
              <w:pStyle w:val="16"/>
            </w:pPr>
            <w:r>
              <w:t>行政单位离退休</w:t>
            </w:r>
          </w:p>
        </w:tc>
        <w:tc>
          <w:tcPr>
            <w:tcW w:w="1361" w:type="dxa"/>
            <w:vAlign w:val="center"/>
          </w:tcPr>
          <w:p>
            <w:pPr>
              <w:pStyle w:val="15"/>
            </w:pPr>
            <w:r>
              <w:t>27.51</w:t>
            </w:r>
          </w:p>
        </w:tc>
        <w:tc>
          <w:tcPr>
            <w:tcW w:w="1361" w:type="dxa"/>
            <w:vAlign w:val="center"/>
          </w:tcPr>
          <w:p>
            <w:pPr>
              <w:pStyle w:val="15"/>
            </w:pPr>
            <w:r>
              <w:t>27.51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33.14</w:t>
            </w:r>
          </w:p>
        </w:tc>
        <w:tc>
          <w:tcPr>
            <w:tcW w:w="1361" w:type="dxa"/>
            <w:vAlign w:val="center"/>
          </w:tcPr>
          <w:p>
            <w:pPr>
              <w:pStyle w:val="15"/>
            </w:pPr>
            <w:r>
              <w:t>33.14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20827</w:t>
            </w:r>
          </w:p>
        </w:tc>
        <w:tc>
          <w:tcPr>
            <w:tcW w:w="4535" w:type="dxa"/>
            <w:vAlign w:val="center"/>
          </w:tcPr>
          <w:p>
            <w:pPr>
              <w:pStyle w:val="16"/>
            </w:pPr>
            <w:r>
              <w:t>财政对其他社会保险基金的补助</w:t>
            </w:r>
          </w:p>
        </w:tc>
        <w:tc>
          <w:tcPr>
            <w:tcW w:w="1361" w:type="dxa"/>
            <w:vAlign w:val="center"/>
          </w:tcPr>
          <w:p>
            <w:pPr>
              <w:pStyle w:val="15"/>
            </w:pPr>
            <w:r>
              <w:t>0.95</w:t>
            </w:r>
          </w:p>
        </w:tc>
        <w:tc>
          <w:tcPr>
            <w:tcW w:w="1361" w:type="dxa"/>
            <w:vAlign w:val="center"/>
          </w:tcPr>
          <w:p>
            <w:pPr>
              <w:pStyle w:val="15"/>
            </w:pPr>
            <w:r>
              <w:t>0.95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2082702</w:t>
            </w:r>
          </w:p>
        </w:tc>
        <w:tc>
          <w:tcPr>
            <w:tcW w:w="4535" w:type="dxa"/>
            <w:vAlign w:val="center"/>
          </w:tcPr>
          <w:p>
            <w:pPr>
              <w:pStyle w:val="16"/>
            </w:pPr>
            <w:r>
              <w:t>财政对工伤保险基金的补助</w:t>
            </w:r>
          </w:p>
        </w:tc>
        <w:tc>
          <w:tcPr>
            <w:tcW w:w="1361" w:type="dxa"/>
            <w:vAlign w:val="center"/>
          </w:tcPr>
          <w:p>
            <w:pPr>
              <w:pStyle w:val="15"/>
            </w:pPr>
            <w:r>
              <w:t>0.95</w:t>
            </w:r>
          </w:p>
        </w:tc>
        <w:tc>
          <w:tcPr>
            <w:tcW w:w="1361" w:type="dxa"/>
            <w:vAlign w:val="center"/>
          </w:tcPr>
          <w:p>
            <w:pPr>
              <w:pStyle w:val="15"/>
            </w:pPr>
            <w:r>
              <w:t>0.95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12.94</w:t>
            </w:r>
          </w:p>
        </w:tc>
        <w:tc>
          <w:tcPr>
            <w:tcW w:w="1361" w:type="dxa"/>
            <w:vAlign w:val="center"/>
          </w:tcPr>
          <w:p>
            <w:pPr>
              <w:pStyle w:val="15"/>
            </w:pPr>
            <w:r>
              <w:t>12.94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12.94</w:t>
            </w:r>
          </w:p>
        </w:tc>
        <w:tc>
          <w:tcPr>
            <w:tcW w:w="1361" w:type="dxa"/>
            <w:vAlign w:val="center"/>
          </w:tcPr>
          <w:p>
            <w:pPr>
              <w:pStyle w:val="15"/>
            </w:pPr>
            <w:r>
              <w:t>12.94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2101101</w:t>
            </w:r>
          </w:p>
        </w:tc>
        <w:tc>
          <w:tcPr>
            <w:tcW w:w="4535" w:type="dxa"/>
            <w:vAlign w:val="center"/>
          </w:tcPr>
          <w:p>
            <w:pPr>
              <w:pStyle w:val="16"/>
            </w:pPr>
            <w:r>
              <w:t>行政单位医疗</w:t>
            </w:r>
          </w:p>
        </w:tc>
        <w:tc>
          <w:tcPr>
            <w:tcW w:w="1361" w:type="dxa"/>
            <w:vAlign w:val="center"/>
          </w:tcPr>
          <w:p>
            <w:pPr>
              <w:pStyle w:val="15"/>
            </w:pPr>
            <w:r>
              <w:t>12.93</w:t>
            </w:r>
          </w:p>
        </w:tc>
        <w:tc>
          <w:tcPr>
            <w:tcW w:w="1361" w:type="dxa"/>
            <w:vAlign w:val="center"/>
          </w:tcPr>
          <w:p>
            <w:pPr>
              <w:pStyle w:val="15"/>
            </w:pPr>
            <w:r>
              <w:t>12.93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2101103</w:t>
            </w:r>
          </w:p>
        </w:tc>
        <w:tc>
          <w:tcPr>
            <w:tcW w:w="4535" w:type="dxa"/>
            <w:vAlign w:val="center"/>
          </w:tcPr>
          <w:p>
            <w:pPr>
              <w:pStyle w:val="16"/>
            </w:pPr>
            <w:r>
              <w:t>公务员医疗补助</w:t>
            </w:r>
          </w:p>
        </w:tc>
        <w:tc>
          <w:tcPr>
            <w:tcW w:w="1361" w:type="dxa"/>
            <w:vAlign w:val="center"/>
          </w:tcPr>
          <w:p>
            <w:pPr>
              <w:pStyle w:val="15"/>
            </w:pPr>
            <w:r>
              <w:t>0.01</w:t>
            </w:r>
          </w:p>
        </w:tc>
        <w:tc>
          <w:tcPr>
            <w:tcW w:w="1361" w:type="dxa"/>
            <w:vAlign w:val="center"/>
          </w:tcPr>
          <w:p>
            <w:pPr>
              <w:pStyle w:val="15"/>
            </w:pPr>
            <w:r>
              <w:t>0.01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14.71</w:t>
            </w:r>
          </w:p>
        </w:tc>
        <w:tc>
          <w:tcPr>
            <w:tcW w:w="1361" w:type="dxa"/>
            <w:vAlign w:val="center"/>
          </w:tcPr>
          <w:p>
            <w:pPr>
              <w:pStyle w:val="15"/>
            </w:pPr>
            <w:r>
              <w:t>14.71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14.71</w:t>
            </w:r>
          </w:p>
        </w:tc>
        <w:tc>
          <w:tcPr>
            <w:tcW w:w="1361" w:type="dxa"/>
            <w:vAlign w:val="center"/>
          </w:tcPr>
          <w:p>
            <w:pPr>
              <w:pStyle w:val="15"/>
            </w:pPr>
            <w:r>
              <w:t>14.71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14.71</w:t>
            </w:r>
          </w:p>
        </w:tc>
        <w:tc>
          <w:tcPr>
            <w:tcW w:w="1361" w:type="dxa"/>
            <w:vAlign w:val="center"/>
          </w:tcPr>
          <w:p>
            <w:pPr>
              <w:pStyle w:val="15"/>
            </w:pPr>
            <w:r>
              <w:t>14.71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3402" w:type="dxa"/>
            <w:tcBorders>
              <w:top w:val="single" w:color="FFFFFF" w:sz="6" w:space="0"/>
              <w:left w:val="single" w:color="FFFFFF" w:sz="6" w:space="0"/>
              <w:right w:val="single" w:color="FFFFFF" w:sz="6" w:space="0"/>
            </w:tcBorders>
            <w:vAlign w:val="center"/>
          </w:tcPr>
          <w:p>
            <w:pPr>
              <w:pStyle w:val="12"/>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710.18</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r>
              <w:t>620.93</w:t>
            </w:r>
          </w:p>
        </w:tc>
        <w:tc>
          <w:tcPr>
            <w:tcW w:w="1474" w:type="dxa"/>
            <w:vAlign w:val="center"/>
          </w:tcPr>
          <w:p>
            <w:pPr>
              <w:pStyle w:val="15"/>
            </w:pPr>
            <w:r>
              <w:t>620.93</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61.60</w:t>
            </w:r>
          </w:p>
        </w:tc>
        <w:tc>
          <w:tcPr>
            <w:tcW w:w="1474" w:type="dxa"/>
            <w:vAlign w:val="center"/>
          </w:tcPr>
          <w:p>
            <w:pPr>
              <w:pStyle w:val="15"/>
            </w:pPr>
            <w:r>
              <w:t>61.60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12.94</w:t>
            </w:r>
          </w:p>
        </w:tc>
        <w:tc>
          <w:tcPr>
            <w:tcW w:w="1474" w:type="dxa"/>
            <w:vAlign w:val="center"/>
          </w:tcPr>
          <w:p>
            <w:pPr>
              <w:pStyle w:val="15"/>
            </w:pPr>
            <w:r>
              <w:t>12.94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14.71</w:t>
            </w:r>
          </w:p>
        </w:tc>
        <w:tc>
          <w:tcPr>
            <w:tcW w:w="1474" w:type="dxa"/>
            <w:vAlign w:val="center"/>
          </w:tcPr>
          <w:p>
            <w:pPr>
              <w:pStyle w:val="15"/>
            </w:pPr>
            <w:r>
              <w:t>14.71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三十一、往来性支出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710.18</w:t>
            </w:r>
          </w:p>
        </w:tc>
        <w:tc>
          <w:tcPr>
            <w:tcW w:w="3402" w:type="dxa"/>
            <w:vAlign w:val="center"/>
          </w:tcPr>
          <w:p>
            <w:pPr>
              <w:pStyle w:val="18"/>
            </w:pPr>
            <w:r>
              <w:t>本年支出合计</w:t>
            </w:r>
          </w:p>
        </w:tc>
        <w:tc>
          <w:tcPr>
            <w:tcW w:w="1474" w:type="dxa"/>
            <w:vAlign w:val="center"/>
          </w:tcPr>
          <w:p>
            <w:pPr>
              <w:pStyle w:val="19"/>
            </w:pPr>
            <w:r>
              <w:t>710.18</w:t>
            </w:r>
          </w:p>
        </w:tc>
        <w:tc>
          <w:tcPr>
            <w:tcW w:w="1474" w:type="dxa"/>
            <w:vAlign w:val="center"/>
          </w:tcPr>
          <w:p>
            <w:pPr>
              <w:pStyle w:val="19"/>
            </w:pPr>
            <w:r>
              <w:t>710.18</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710.18</w:t>
            </w:r>
          </w:p>
        </w:tc>
        <w:tc>
          <w:tcPr>
            <w:tcW w:w="3402" w:type="dxa"/>
            <w:vAlign w:val="center"/>
          </w:tcPr>
          <w:p>
            <w:pPr>
              <w:pStyle w:val="18"/>
            </w:pPr>
            <w:r>
              <w:t>支出总计</w:t>
            </w:r>
          </w:p>
        </w:tc>
        <w:tc>
          <w:tcPr>
            <w:tcW w:w="1474" w:type="dxa"/>
            <w:vAlign w:val="center"/>
          </w:tcPr>
          <w:p>
            <w:pPr>
              <w:pStyle w:val="19"/>
            </w:pPr>
            <w:r>
              <w:t>710.18</w:t>
            </w:r>
          </w:p>
        </w:tc>
        <w:tc>
          <w:tcPr>
            <w:tcW w:w="1474" w:type="dxa"/>
            <w:vAlign w:val="center"/>
          </w:tcPr>
          <w:p>
            <w:pPr>
              <w:pStyle w:val="19"/>
            </w:pPr>
            <w:r>
              <w:t>710.18</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2551" w:type="dxa"/>
            <w:tcBorders>
              <w:top w:val="single" w:color="FFFFFF" w:sz="6" w:space="0"/>
              <w:left w:val="single" w:color="FFFFFF" w:sz="6" w:space="0"/>
              <w:right w:val="single" w:color="FFFFFF" w:sz="6" w:space="0"/>
            </w:tcBorders>
            <w:vAlign w:val="center"/>
          </w:tcPr>
          <w:p>
            <w:pPr>
              <w:pStyle w:val="12"/>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710.18</w:t>
            </w:r>
          </w:p>
        </w:tc>
        <w:tc>
          <w:tcPr>
            <w:tcW w:w="2551" w:type="dxa"/>
            <w:vAlign w:val="center"/>
          </w:tcPr>
          <w:p>
            <w:pPr>
              <w:pStyle w:val="19"/>
            </w:pPr>
            <w:r>
              <w:t>367.37</w:t>
            </w:r>
          </w:p>
        </w:tc>
        <w:tc>
          <w:tcPr>
            <w:tcW w:w="2551" w:type="dxa"/>
            <w:vAlign w:val="center"/>
          </w:tcPr>
          <w:p>
            <w:pPr>
              <w:pStyle w:val="19"/>
            </w:pPr>
            <w:r>
              <w:t>342.81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204</w:t>
            </w:r>
          </w:p>
        </w:tc>
        <w:tc>
          <w:tcPr>
            <w:tcW w:w="4535" w:type="dxa"/>
            <w:vAlign w:val="center"/>
          </w:tcPr>
          <w:p>
            <w:pPr>
              <w:pStyle w:val="16"/>
            </w:pPr>
            <w:r>
              <w:t>公共安全支出</w:t>
            </w:r>
          </w:p>
        </w:tc>
        <w:tc>
          <w:tcPr>
            <w:tcW w:w="2551" w:type="dxa"/>
            <w:vAlign w:val="center"/>
          </w:tcPr>
          <w:p>
            <w:pPr>
              <w:pStyle w:val="15"/>
            </w:pPr>
            <w:r>
              <w:t>620.93</w:t>
            </w:r>
          </w:p>
        </w:tc>
        <w:tc>
          <w:tcPr>
            <w:tcW w:w="2551" w:type="dxa"/>
            <w:vAlign w:val="center"/>
          </w:tcPr>
          <w:p>
            <w:pPr>
              <w:pStyle w:val="15"/>
            </w:pPr>
            <w:r>
              <w:t>278.12</w:t>
            </w:r>
          </w:p>
        </w:tc>
        <w:tc>
          <w:tcPr>
            <w:tcW w:w="2551" w:type="dxa"/>
            <w:vAlign w:val="center"/>
          </w:tcPr>
          <w:p>
            <w:pPr>
              <w:pStyle w:val="15"/>
            </w:pPr>
            <w:r>
              <w:t>342.81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20404</w:t>
            </w:r>
          </w:p>
        </w:tc>
        <w:tc>
          <w:tcPr>
            <w:tcW w:w="4535" w:type="dxa"/>
            <w:vAlign w:val="center"/>
          </w:tcPr>
          <w:p>
            <w:pPr>
              <w:pStyle w:val="16"/>
            </w:pPr>
            <w:r>
              <w:t>检察</w:t>
            </w:r>
          </w:p>
        </w:tc>
        <w:tc>
          <w:tcPr>
            <w:tcW w:w="2551" w:type="dxa"/>
            <w:vAlign w:val="center"/>
          </w:tcPr>
          <w:p>
            <w:pPr>
              <w:pStyle w:val="15"/>
            </w:pPr>
            <w:r>
              <w:t>620.93</w:t>
            </w:r>
          </w:p>
        </w:tc>
        <w:tc>
          <w:tcPr>
            <w:tcW w:w="2551" w:type="dxa"/>
            <w:vAlign w:val="center"/>
          </w:tcPr>
          <w:p>
            <w:pPr>
              <w:pStyle w:val="15"/>
            </w:pPr>
            <w:r>
              <w:t>278.12</w:t>
            </w:r>
          </w:p>
        </w:tc>
        <w:tc>
          <w:tcPr>
            <w:tcW w:w="2551" w:type="dxa"/>
            <w:vAlign w:val="center"/>
          </w:tcPr>
          <w:p>
            <w:pPr>
              <w:pStyle w:val="15"/>
            </w:pPr>
            <w:r>
              <w:t>342.81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2040401</w:t>
            </w:r>
          </w:p>
        </w:tc>
        <w:tc>
          <w:tcPr>
            <w:tcW w:w="4535" w:type="dxa"/>
            <w:vAlign w:val="center"/>
          </w:tcPr>
          <w:p>
            <w:pPr>
              <w:pStyle w:val="16"/>
            </w:pPr>
            <w:r>
              <w:t>行政运行</w:t>
            </w:r>
          </w:p>
        </w:tc>
        <w:tc>
          <w:tcPr>
            <w:tcW w:w="2551" w:type="dxa"/>
            <w:vAlign w:val="center"/>
          </w:tcPr>
          <w:p>
            <w:pPr>
              <w:pStyle w:val="15"/>
            </w:pPr>
            <w:r>
              <w:t>483.83</w:t>
            </w:r>
          </w:p>
        </w:tc>
        <w:tc>
          <w:tcPr>
            <w:tcW w:w="2551" w:type="dxa"/>
            <w:vAlign w:val="center"/>
          </w:tcPr>
          <w:p>
            <w:pPr>
              <w:pStyle w:val="15"/>
            </w:pPr>
            <w:r>
              <w:t>278.12</w:t>
            </w:r>
          </w:p>
        </w:tc>
        <w:tc>
          <w:tcPr>
            <w:tcW w:w="2551" w:type="dxa"/>
            <w:vAlign w:val="center"/>
          </w:tcPr>
          <w:p>
            <w:pPr>
              <w:pStyle w:val="15"/>
            </w:pPr>
            <w:r>
              <w:t>205.71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2040402</w:t>
            </w:r>
          </w:p>
        </w:tc>
        <w:tc>
          <w:tcPr>
            <w:tcW w:w="4535" w:type="dxa"/>
            <w:vAlign w:val="center"/>
          </w:tcPr>
          <w:p>
            <w:pPr>
              <w:pStyle w:val="16"/>
            </w:pPr>
            <w:r>
              <w:t>一般行政管理事务</w:t>
            </w:r>
          </w:p>
        </w:tc>
        <w:tc>
          <w:tcPr>
            <w:tcW w:w="2551" w:type="dxa"/>
            <w:vAlign w:val="center"/>
          </w:tcPr>
          <w:p>
            <w:pPr>
              <w:pStyle w:val="15"/>
            </w:pPr>
            <w:r>
              <w:t>87.26</w:t>
            </w:r>
          </w:p>
        </w:tc>
        <w:tc>
          <w:tcPr>
            <w:tcW w:w="2551" w:type="dxa"/>
            <w:vAlign w:val="center"/>
          </w:tcPr>
          <w:p>
            <w:pPr>
              <w:pStyle w:val="15"/>
            </w:pPr>
          </w:p>
        </w:tc>
        <w:tc>
          <w:tcPr>
            <w:tcW w:w="2551" w:type="dxa"/>
            <w:vAlign w:val="center"/>
          </w:tcPr>
          <w:p>
            <w:pPr>
              <w:pStyle w:val="15"/>
            </w:pPr>
            <w:r>
              <w:t>87.26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2040499</w:t>
            </w:r>
          </w:p>
        </w:tc>
        <w:tc>
          <w:tcPr>
            <w:tcW w:w="4535" w:type="dxa"/>
            <w:vAlign w:val="center"/>
          </w:tcPr>
          <w:p>
            <w:pPr>
              <w:pStyle w:val="16"/>
            </w:pPr>
            <w:r>
              <w:t>其他检察支出</w:t>
            </w:r>
          </w:p>
        </w:tc>
        <w:tc>
          <w:tcPr>
            <w:tcW w:w="2551" w:type="dxa"/>
            <w:vAlign w:val="center"/>
          </w:tcPr>
          <w:p>
            <w:pPr>
              <w:pStyle w:val="15"/>
            </w:pPr>
            <w:r>
              <w:t>49.84</w:t>
            </w:r>
          </w:p>
        </w:tc>
        <w:tc>
          <w:tcPr>
            <w:tcW w:w="2551" w:type="dxa"/>
            <w:vAlign w:val="center"/>
          </w:tcPr>
          <w:p>
            <w:pPr>
              <w:pStyle w:val="15"/>
            </w:pPr>
          </w:p>
        </w:tc>
        <w:tc>
          <w:tcPr>
            <w:tcW w:w="2551" w:type="dxa"/>
            <w:vAlign w:val="center"/>
          </w:tcPr>
          <w:p>
            <w:pPr>
              <w:pStyle w:val="15"/>
            </w:pPr>
            <w:r>
              <w:t>49.84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61.60</w:t>
            </w:r>
          </w:p>
        </w:tc>
        <w:tc>
          <w:tcPr>
            <w:tcW w:w="2551" w:type="dxa"/>
            <w:vAlign w:val="center"/>
          </w:tcPr>
          <w:p>
            <w:pPr>
              <w:pStyle w:val="15"/>
            </w:pPr>
            <w:r>
              <w:t>61.60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60.65</w:t>
            </w:r>
          </w:p>
        </w:tc>
        <w:tc>
          <w:tcPr>
            <w:tcW w:w="2551" w:type="dxa"/>
            <w:vAlign w:val="center"/>
          </w:tcPr>
          <w:p>
            <w:pPr>
              <w:pStyle w:val="15"/>
            </w:pPr>
            <w:r>
              <w:t>60.65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pPr>
            <w:r>
              <w:t>27.51</w:t>
            </w:r>
          </w:p>
        </w:tc>
        <w:tc>
          <w:tcPr>
            <w:tcW w:w="2551" w:type="dxa"/>
            <w:vAlign w:val="center"/>
          </w:tcPr>
          <w:p>
            <w:pPr>
              <w:pStyle w:val="15"/>
            </w:pPr>
            <w:r>
              <w:t>27.51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33.14</w:t>
            </w:r>
          </w:p>
        </w:tc>
        <w:tc>
          <w:tcPr>
            <w:tcW w:w="2551" w:type="dxa"/>
            <w:vAlign w:val="center"/>
          </w:tcPr>
          <w:p>
            <w:pPr>
              <w:pStyle w:val="15"/>
            </w:pPr>
            <w:r>
              <w:t>33.14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20827</w:t>
            </w:r>
          </w:p>
        </w:tc>
        <w:tc>
          <w:tcPr>
            <w:tcW w:w="4535" w:type="dxa"/>
            <w:vAlign w:val="center"/>
          </w:tcPr>
          <w:p>
            <w:pPr>
              <w:pStyle w:val="16"/>
            </w:pPr>
            <w:r>
              <w:t>财政对其他社会保险基金的补助</w:t>
            </w:r>
          </w:p>
        </w:tc>
        <w:tc>
          <w:tcPr>
            <w:tcW w:w="2551" w:type="dxa"/>
            <w:vAlign w:val="center"/>
          </w:tcPr>
          <w:p>
            <w:pPr>
              <w:pStyle w:val="15"/>
            </w:pPr>
            <w:r>
              <w:t>0.95</w:t>
            </w:r>
          </w:p>
        </w:tc>
        <w:tc>
          <w:tcPr>
            <w:tcW w:w="2551" w:type="dxa"/>
            <w:vAlign w:val="center"/>
          </w:tcPr>
          <w:p>
            <w:pPr>
              <w:pStyle w:val="15"/>
            </w:pPr>
            <w:r>
              <w:t>0.95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2082702</w:t>
            </w:r>
          </w:p>
        </w:tc>
        <w:tc>
          <w:tcPr>
            <w:tcW w:w="4535" w:type="dxa"/>
            <w:vAlign w:val="center"/>
          </w:tcPr>
          <w:p>
            <w:pPr>
              <w:pStyle w:val="16"/>
            </w:pPr>
            <w:r>
              <w:t>财政对工伤保险基金的补助</w:t>
            </w:r>
          </w:p>
        </w:tc>
        <w:tc>
          <w:tcPr>
            <w:tcW w:w="2551" w:type="dxa"/>
            <w:vAlign w:val="center"/>
          </w:tcPr>
          <w:p>
            <w:pPr>
              <w:pStyle w:val="15"/>
            </w:pPr>
            <w:r>
              <w:t>0.95</w:t>
            </w:r>
          </w:p>
        </w:tc>
        <w:tc>
          <w:tcPr>
            <w:tcW w:w="2551" w:type="dxa"/>
            <w:vAlign w:val="center"/>
          </w:tcPr>
          <w:p>
            <w:pPr>
              <w:pStyle w:val="15"/>
            </w:pPr>
            <w:r>
              <w:t>0.95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12.94</w:t>
            </w:r>
          </w:p>
        </w:tc>
        <w:tc>
          <w:tcPr>
            <w:tcW w:w="2551" w:type="dxa"/>
            <w:vAlign w:val="center"/>
          </w:tcPr>
          <w:p>
            <w:pPr>
              <w:pStyle w:val="15"/>
            </w:pPr>
            <w:r>
              <w:t>12.94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12.94</w:t>
            </w:r>
          </w:p>
        </w:tc>
        <w:tc>
          <w:tcPr>
            <w:tcW w:w="2551" w:type="dxa"/>
            <w:vAlign w:val="center"/>
          </w:tcPr>
          <w:p>
            <w:pPr>
              <w:pStyle w:val="15"/>
            </w:pPr>
            <w:r>
              <w:t>12.94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r>
              <w:t>12.93</w:t>
            </w:r>
          </w:p>
        </w:tc>
        <w:tc>
          <w:tcPr>
            <w:tcW w:w="2551" w:type="dxa"/>
            <w:vAlign w:val="center"/>
          </w:tcPr>
          <w:p>
            <w:pPr>
              <w:pStyle w:val="15"/>
            </w:pPr>
            <w:r>
              <w:t>12.93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2101103</w:t>
            </w:r>
          </w:p>
        </w:tc>
        <w:tc>
          <w:tcPr>
            <w:tcW w:w="4535" w:type="dxa"/>
            <w:vAlign w:val="center"/>
          </w:tcPr>
          <w:p>
            <w:pPr>
              <w:pStyle w:val="16"/>
            </w:pPr>
            <w:r>
              <w:t>公务员医疗补助</w:t>
            </w:r>
          </w:p>
        </w:tc>
        <w:tc>
          <w:tcPr>
            <w:tcW w:w="2551" w:type="dxa"/>
            <w:vAlign w:val="center"/>
          </w:tcPr>
          <w:p>
            <w:pPr>
              <w:pStyle w:val="15"/>
            </w:pPr>
            <w:r>
              <w:t>0.01</w:t>
            </w:r>
          </w:p>
        </w:tc>
        <w:tc>
          <w:tcPr>
            <w:tcW w:w="2551" w:type="dxa"/>
            <w:vAlign w:val="center"/>
          </w:tcPr>
          <w:p>
            <w:pPr>
              <w:pStyle w:val="15"/>
            </w:pPr>
            <w:r>
              <w:t>0.01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14.71</w:t>
            </w:r>
          </w:p>
        </w:tc>
        <w:tc>
          <w:tcPr>
            <w:tcW w:w="2551" w:type="dxa"/>
            <w:vAlign w:val="center"/>
          </w:tcPr>
          <w:p>
            <w:pPr>
              <w:pStyle w:val="15"/>
            </w:pPr>
            <w:r>
              <w:t>14.71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14.71</w:t>
            </w:r>
          </w:p>
        </w:tc>
        <w:tc>
          <w:tcPr>
            <w:tcW w:w="2551" w:type="dxa"/>
            <w:vAlign w:val="center"/>
          </w:tcPr>
          <w:p>
            <w:pPr>
              <w:pStyle w:val="15"/>
            </w:pPr>
            <w:r>
              <w:t>14.71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14.71</w:t>
            </w:r>
          </w:p>
        </w:tc>
        <w:tc>
          <w:tcPr>
            <w:tcW w:w="2551" w:type="dxa"/>
            <w:vAlign w:val="center"/>
          </w:tcPr>
          <w:p>
            <w:pPr>
              <w:pStyle w:val="15"/>
            </w:pPr>
            <w:r>
              <w:t>14.71</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2551" w:type="dxa"/>
            <w:tcBorders>
              <w:top w:val="single" w:color="FFFFFF" w:sz="6" w:space="0"/>
              <w:left w:val="single" w:color="FFFFFF" w:sz="6" w:space="0"/>
              <w:right w:val="single" w:color="FFFFFF" w:sz="6" w:space="0"/>
            </w:tcBorders>
            <w:vAlign w:val="center"/>
          </w:tcPr>
          <w:p>
            <w:pPr>
              <w:pStyle w:val="12"/>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367.37</w:t>
            </w:r>
          </w:p>
        </w:tc>
        <w:tc>
          <w:tcPr>
            <w:tcW w:w="2551" w:type="dxa"/>
            <w:vAlign w:val="center"/>
          </w:tcPr>
          <w:p>
            <w:pPr>
              <w:pStyle w:val="19"/>
            </w:pPr>
            <w:r>
              <w:t>323.04</w:t>
            </w:r>
          </w:p>
        </w:tc>
        <w:tc>
          <w:tcPr>
            <w:tcW w:w="2551" w:type="dxa"/>
            <w:vAlign w:val="center"/>
          </w:tcPr>
          <w:p>
            <w:pPr>
              <w:pStyle w:val="19"/>
            </w:pPr>
            <w:r>
              <w:t>44.33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295.53</w:t>
            </w:r>
          </w:p>
        </w:tc>
        <w:tc>
          <w:tcPr>
            <w:tcW w:w="2551" w:type="dxa"/>
            <w:vAlign w:val="center"/>
          </w:tcPr>
          <w:p>
            <w:pPr>
              <w:pStyle w:val="15"/>
            </w:pPr>
            <w:r>
              <w:t>295.53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136.52</w:t>
            </w:r>
          </w:p>
        </w:tc>
        <w:tc>
          <w:tcPr>
            <w:tcW w:w="2551" w:type="dxa"/>
            <w:vAlign w:val="center"/>
          </w:tcPr>
          <w:p>
            <w:pPr>
              <w:pStyle w:val="15"/>
            </w:pPr>
            <w:r>
              <w:t>136.52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64.84</w:t>
            </w:r>
          </w:p>
        </w:tc>
        <w:tc>
          <w:tcPr>
            <w:tcW w:w="2551" w:type="dxa"/>
            <w:vAlign w:val="center"/>
          </w:tcPr>
          <w:p>
            <w:pPr>
              <w:pStyle w:val="15"/>
            </w:pPr>
            <w:r>
              <w:t>64.84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32.43</w:t>
            </w:r>
          </w:p>
        </w:tc>
        <w:tc>
          <w:tcPr>
            <w:tcW w:w="2551" w:type="dxa"/>
            <w:vAlign w:val="center"/>
          </w:tcPr>
          <w:p>
            <w:pPr>
              <w:pStyle w:val="15"/>
            </w:pPr>
            <w:r>
              <w:t>32.43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33.14</w:t>
            </w:r>
          </w:p>
        </w:tc>
        <w:tc>
          <w:tcPr>
            <w:tcW w:w="2551" w:type="dxa"/>
            <w:vAlign w:val="center"/>
          </w:tcPr>
          <w:p>
            <w:pPr>
              <w:pStyle w:val="15"/>
            </w:pPr>
            <w:r>
              <w:t>33.14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12.58</w:t>
            </w:r>
          </w:p>
        </w:tc>
        <w:tc>
          <w:tcPr>
            <w:tcW w:w="2551" w:type="dxa"/>
            <w:vAlign w:val="center"/>
          </w:tcPr>
          <w:p>
            <w:pPr>
              <w:pStyle w:val="15"/>
            </w:pPr>
            <w:r>
              <w:t>12.58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pPr>
            <w:r>
              <w:t>0.01</w:t>
            </w:r>
          </w:p>
        </w:tc>
        <w:tc>
          <w:tcPr>
            <w:tcW w:w="2551" w:type="dxa"/>
            <w:vAlign w:val="center"/>
          </w:tcPr>
          <w:p>
            <w:pPr>
              <w:pStyle w:val="15"/>
            </w:pPr>
            <w:r>
              <w:t>0.01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1.30</w:t>
            </w:r>
          </w:p>
        </w:tc>
        <w:tc>
          <w:tcPr>
            <w:tcW w:w="2551" w:type="dxa"/>
            <w:vAlign w:val="center"/>
          </w:tcPr>
          <w:p>
            <w:pPr>
              <w:pStyle w:val="15"/>
            </w:pPr>
            <w:r>
              <w:t>1.30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14.71</w:t>
            </w:r>
          </w:p>
        </w:tc>
        <w:tc>
          <w:tcPr>
            <w:tcW w:w="2551" w:type="dxa"/>
            <w:vAlign w:val="center"/>
          </w:tcPr>
          <w:p>
            <w:pPr>
              <w:pStyle w:val="15"/>
            </w:pPr>
            <w:r>
              <w:t>14.71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44.33</w:t>
            </w:r>
          </w:p>
        </w:tc>
        <w:tc>
          <w:tcPr>
            <w:tcW w:w="2551" w:type="dxa"/>
            <w:vAlign w:val="center"/>
          </w:tcPr>
          <w:p>
            <w:pPr>
              <w:pStyle w:val="15"/>
            </w:pPr>
          </w:p>
        </w:tc>
        <w:tc>
          <w:tcPr>
            <w:tcW w:w="2551" w:type="dxa"/>
            <w:vAlign w:val="center"/>
          </w:tcPr>
          <w:p>
            <w:pPr>
              <w:pStyle w:val="15"/>
            </w:pPr>
            <w:r>
              <w:t>44.33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13.00</w:t>
            </w:r>
          </w:p>
        </w:tc>
        <w:tc>
          <w:tcPr>
            <w:tcW w:w="2551" w:type="dxa"/>
            <w:vAlign w:val="center"/>
          </w:tcPr>
          <w:p>
            <w:pPr>
              <w:pStyle w:val="15"/>
            </w:pPr>
          </w:p>
        </w:tc>
        <w:tc>
          <w:tcPr>
            <w:tcW w:w="2551" w:type="dxa"/>
            <w:vAlign w:val="center"/>
          </w:tcPr>
          <w:p>
            <w:pPr>
              <w:pStyle w:val="15"/>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3.72</w:t>
            </w:r>
          </w:p>
        </w:tc>
        <w:tc>
          <w:tcPr>
            <w:tcW w:w="2551" w:type="dxa"/>
            <w:vAlign w:val="center"/>
          </w:tcPr>
          <w:p>
            <w:pPr>
              <w:pStyle w:val="15"/>
            </w:pPr>
          </w:p>
        </w:tc>
        <w:tc>
          <w:tcPr>
            <w:tcW w:w="2551" w:type="dxa"/>
            <w:vAlign w:val="center"/>
          </w:tcPr>
          <w:p>
            <w:pPr>
              <w:pStyle w:val="15"/>
            </w:pPr>
            <w:r>
              <w:t>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pPr>
            <w:r>
              <w:t>3.41</w:t>
            </w:r>
          </w:p>
        </w:tc>
        <w:tc>
          <w:tcPr>
            <w:tcW w:w="2551" w:type="dxa"/>
            <w:vAlign w:val="center"/>
          </w:tcPr>
          <w:p>
            <w:pPr>
              <w:pStyle w:val="15"/>
            </w:pPr>
          </w:p>
        </w:tc>
        <w:tc>
          <w:tcPr>
            <w:tcW w:w="2551" w:type="dxa"/>
            <w:vAlign w:val="center"/>
          </w:tcPr>
          <w:p>
            <w:pPr>
              <w:pStyle w:val="15"/>
            </w:pPr>
            <w:r>
              <w:t>3.41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21.00</w:t>
            </w:r>
          </w:p>
        </w:tc>
        <w:tc>
          <w:tcPr>
            <w:tcW w:w="2551" w:type="dxa"/>
            <w:vAlign w:val="center"/>
          </w:tcPr>
          <w:p>
            <w:pPr>
              <w:pStyle w:val="15"/>
            </w:pPr>
          </w:p>
        </w:tc>
        <w:tc>
          <w:tcPr>
            <w:tcW w:w="2551" w:type="dxa"/>
            <w:vAlign w:val="center"/>
          </w:tcPr>
          <w:p>
            <w:pPr>
              <w:pStyle w:val="15"/>
            </w:pPr>
            <w:r>
              <w:t>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3.20</w:t>
            </w:r>
          </w:p>
        </w:tc>
        <w:tc>
          <w:tcPr>
            <w:tcW w:w="2551" w:type="dxa"/>
            <w:vAlign w:val="center"/>
          </w:tcPr>
          <w:p>
            <w:pPr>
              <w:pStyle w:val="15"/>
            </w:pPr>
          </w:p>
        </w:tc>
        <w:tc>
          <w:tcPr>
            <w:tcW w:w="2551" w:type="dxa"/>
            <w:vAlign w:val="center"/>
          </w:tcPr>
          <w:p>
            <w:pPr>
              <w:pStyle w:val="15"/>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27.51</w:t>
            </w:r>
          </w:p>
        </w:tc>
        <w:tc>
          <w:tcPr>
            <w:tcW w:w="2551" w:type="dxa"/>
            <w:vAlign w:val="center"/>
          </w:tcPr>
          <w:p>
            <w:pPr>
              <w:pStyle w:val="15"/>
            </w:pPr>
            <w:r>
              <w:t>27.51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26.85</w:t>
            </w:r>
          </w:p>
        </w:tc>
        <w:tc>
          <w:tcPr>
            <w:tcW w:w="2551" w:type="dxa"/>
            <w:vAlign w:val="center"/>
          </w:tcPr>
          <w:p>
            <w:pPr>
              <w:pStyle w:val="15"/>
            </w:pPr>
            <w:r>
              <w:t>26.85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r>
              <w:t>0.66</w:t>
            </w:r>
          </w:p>
        </w:tc>
        <w:tc>
          <w:tcPr>
            <w:tcW w:w="2551" w:type="dxa"/>
            <w:vAlign w:val="center"/>
          </w:tcPr>
          <w:p>
            <w:pPr>
              <w:pStyle w:val="15"/>
            </w:pPr>
            <w:r>
              <w:t>0.66</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2551" w:type="dxa"/>
            <w:tcBorders>
              <w:top w:val="single" w:color="FFFFFF" w:sz="6" w:space="0"/>
              <w:left w:val="single" w:color="FFFFFF" w:sz="6" w:space="0"/>
              <w:right w:val="single" w:color="FFFFFF" w:sz="6" w:space="0"/>
            </w:tcBorders>
            <w:vAlign w:val="center"/>
          </w:tcPr>
          <w:p>
            <w:pPr>
              <w:pStyle w:val="12"/>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2551" w:type="dxa"/>
            <w:tcBorders>
              <w:top w:val="single" w:color="FFFFFF" w:sz="6" w:space="0"/>
              <w:left w:val="single" w:color="FFFFFF" w:sz="6" w:space="0"/>
              <w:right w:val="single" w:color="FFFFFF" w:sz="6" w:space="0"/>
            </w:tcBorders>
            <w:vAlign w:val="center"/>
          </w:tcPr>
          <w:p>
            <w:pPr>
              <w:pStyle w:val="12"/>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530顺平县人民检察院</w:t>
            </w:r>
          </w:p>
        </w:tc>
        <w:tc>
          <w:tcPr>
            <w:tcW w:w="2381" w:type="dxa"/>
            <w:tcBorders>
              <w:top w:val="single" w:color="FFFFFF" w:sz="6" w:space="0"/>
              <w:left w:val="single" w:color="FFFFFF" w:sz="6" w:space="0"/>
              <w:right w:val="single" w:color="FFFFFF" w:sz="6" w:space="0"/>
            </w:tcBorders>
            <w:vAlign w:val="center"/>
          </w:tcPr>
          <w:p>
            <w:pPr>
              <w:pStyle w:val="12"/>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1" w:type="dxa"/>
            <w:vAlign w:val="center"/>
          </w:tcPr>
          <w:p>
            <w:pPr>
              <w:pStyle w:val="19"/>
            </w:pPr>
            <w:r>
              <w:t>2</w:t>
            </w:r>
            <w:r>
              <w:rPr>
                <w:rFonts w:hint="eastAsia"/>
                <w:lang w:val="en-US" w:eastAsia="zh-CN"/>
              </w:rPr>
              <w:t>3</w:t>
            </w:r>
            <w:r>
              <w:t>.50</w:t>
            </w:r>
          </w:p>
        </w:tc>
        <w:tc>
          <w:tcPr>
            <w:tcW w:w="2381" w:type="dxa"/>
            <w:vAlign w:val="center"/>
          </w:tcPr>
          <w:p>
            <w:pPr>
              <w:pStyle w:val="19"/>
            </w:pPr>
            <w:r>
              <w:t>2</w:t>
            </w:r>
            <w:r>
              <w:rPr>
                <w:rFonts w:hint="eastAsia"/>
                <w:lang w:val="en-US" w:eastAsia="zh-CN"/>
              </w:rPr>
              <w:t>3</w:t>
            </w:r>
            <w:r>
              <w:t>.50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“三公”经费小计</w:t>
            </w:r>
          </w:p>
        </w:tc>
        <w:tc>
          <w:tcPr>
            <w:tcW w:w="2381" w:type="dxa"/>
            <w:vAlign w:val="center"/>
          </w:tcPr>
          <w:p>
            <w:pPr>
              <w:pStyle w:val="15"/>
            </w:pPr>
            <w:r>
              <w:t>23.50</w:t>
            </w:r>
          </w:p>
        </w:tc>
        <w:tc>
          <w:tcPr>
            <w:tcW w:w="2381" w:type="dxa"/>
            <w:vAlign w:val="center"/>
          </w:tcPr>
          <w:p>
            <w:pPr>
              <w:pStyle w:val="15"/>
            </w:pPr>
            <w:r>
              <w:t>23.50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3</w:t>
            </w:r>
          </w:p>
        </w:tc>
        <w:tc>
          <w:tcPr>
            <w:tcW w:w="3798" w:type="dxa"/>
            <w:vAlign w:val="center"/>
          </w:tcPr>
          <w:p>
            <w:pPr>
              <w:pStyle w:val="16"/>
            </w:pPr>
            <w:r>
              <w:t>一、因公出国（境）费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4</w:t>
            </w:r>
          </w:p>
        </w:tc>
        <w:tc>
          <w:tcPr>
            <w:tcW w:w="3798" w:type="dxa"/>
            <w:vAlign w:val="center"/>
          </w:tcPr>
          <w:p>
            <w:pPr>
              <w:pStyle w:val="16"/>
            </w:pPr>
            <w:r>
              <w:t xml:space="preserve">    其中：教学科研人员因公出国（境）费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5</w:t>
            </w:r>
          </w:p>
        </w:tc>
        <w:tc>
          <w:tcPr>
            <w:tcW w:w="3798" w:type="dxa"/>
            <w:vAlign w:val="center"/>
          </w:tcPr>
          <w:p>
            <w:pPr>
              <w:pStyle w:val="16"/>
            </w:pPr>
            <w:r>
              <w:t xml:space="preserve">          其他因公出国（境）费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6</w:t>
            </w:r>
          </w:p>
        </w:tc>
        <w:tc>
          <w:tcPr>
            <w:tcW w:w="3798" w:type="dxa"/>
            <w:vAlign w:val="center"/>
          </w:tcPr>
          <w:p>
            <w:pPr>
              <w:pStyle w:val="16"/>
            </w:pPr>
            <w:r>
              <w:t>二、公务用车购置及运维费</w:t>
            </w:r>
          </w:p>
        </w:tc>
        <w:tc>
          <w:tcPr>
            <w:tcW w:w="2381" w:type="dxa"/>
            <w:vAlign w:val="center"/>
          </w:tcPr>
          <w:p>
            <w:pPr>
              <w:pStyle w:val="15"/>
            </w:pPr>
            <w:r>
              <w:t>21.50</w:t>
            </w:r>
          </w:p>
        </w:tc>
        <w:tc>
          <w:tcPr>
            <w:tcW w:w="2381" w:type="dxa"/>
            <w:vAlign w:val="center"/>
          </w:tcPr>
          <w:p>
            <w:pPr>
              <w:pStyle w:val="15"/>
            </w:pPr>
            <w:r>
              <w:t>21.50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7</w:t>
            </w:r>
          </w:p>
        </w:tc>
        <w:tc>
          <w:tcPr>
            <w:tcW w:w="3798" w:type="dxa"/>
            <w:vAlign w:val="center"/>
          </w:tcPr>
          <w:p>
            <w:pPr>
              <w:pStyle w:val="16"/>
            </w:pPr>
            <w:r>
              <w:t xml:space="preserve">    其中：公务用车购置费</w:t>
            </w: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8</w:t>
            </w:r>
          </w:p>
        </w:tc>
        <w:tc>
          <w:tcPr>
            <w:tcW w:w="3798" w:type="dxa"/>
            <w:vAlign w:val="center"/>
          </w:tcPr>
          <w:p>
            <w:pPr>
              <w:pStyle w:val="16"/>
            </w:pPr>
            <w:r>
              <w:t xml:space="preserve">          公务用车运行维护费</w:t>
            </w:r>
          </w:p>
        </w:tc>
        <w:tc>
          <w:tcPr>
            <w:tcW w:w="2381" w:type="dxa"/>
            <w:vAlign w:val="center"/>
          </w:tcPr>
          <w:p>
            <w:pPr>
              <w:pStyle w:val="15"/>
            </w:pPr>
            <w:r>
              <w:t>21.50</w:t>
            </w:r>
          </w:p>
        </w:tc>
        <w:tc>
          <w:tcPr>
            <w:tcW w:w="2381" w:type="dxa"/>
            <w:vAlign w:val="center"/>
          </w:tcPr>
          <w:p>
            <w:pPr>
              <w:pStyle w:val="15"/>
            </w:pPr>
            <w:r>
              <w:t>21.50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9</w:t>
            </w:r>
          </w:p>
        </w:tc>
        <w:tc>
          <w:tcPr>
            <w:tcW w:w="3798" w:type="dxa"/>
            <w:vAlign w:val="center"/>
          </w:tcPr>
          <w:p>
            <w:pPr>
              <w:pStyle w:val="16"/>
            </w:pPr>
            <w:r>
              <w:t>三、公务接待费</w:t>
            </w:r>
          </w:p>
        </w:tc>
        <w:tc>
          <w:tcPr>
            <w:tcW w:w="2381" w:type="dxa"/>
            <w:vAlign w:val="center"/>
          </w:tcPr>
          <w:p>
            <w:pPr>
              <w:pStyle w:val="15"/>
            </w:pPr>
            <w:r>
              <w:t>2.00</w:t>
            </w:r>
          </w:p>
        </w:tc>
        <w:tc>
          <w:tcPr>
            <w:tcW w:w="2381" w:type="dxa"/>
            <w:vAlign w:val="center"/>
          </w:tcPr>
          <w:p>
            <w:pPr>
              <w:pStyle w:val="15"/>
            </w:pPr>
            <w:r>
              <w:t>2.00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顺平县人民检察院2023年部门预算信息公开情况说明</w:t>
      </w:r>
    </w:p>
    <w:p>
      <w:pPr>
        <w:jc w:val="center"/>
      </w:pPr>
      <w:r>
        <w:rPr>
          <w:rFonts w:ascii="方正小标宋_GBK" w:hAnsi="方正小标宋_GBK" w:eastAsia="方正小标宋_GBK" w:cs="方正小标宋_GBK"/>
          <w:color w:val="000000"/>
          <w:sz w:val="44"/>
        </w:rPr>
        <w:t>顺平县人民检察院2023年部门预算信息公开情况说明</w:t>
      </w:r>
    </w:p>
    <w:p>
      <w:pPr>
        <w:spacing w:line="500" w:lineRule="exact"/>
        <w:ind w:firstLine="560"/>
      </w:pPr>
      <w:r>
        <w:rPr>
          <w:rFonts w:eastAsia="方正仿宋_GBK" w:cs="Times New Roman"/>
          <w:color w:val="000000"/>
          <w:sz w:val="28"/>
        </w:rPr>
        <w:t>按照《预算法》、《地方预决算公开操作规程》和《关于进一步推进预算公开工作的实施意见》规定，现将顺平县人民检察院2023年部门预算公开如下：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21"/>
      </w:pPr>
      <w:r>
        <w:t>顺平县人民检察院受上级人民检察院领导，对本级人民代表大会及其常务委员会负责并报告工作。顺平县人民检察院的主要职责是:</w:t>
      </w:r>
    </w:p>
    <w:p>
      <w:pPr>
        <w:pStyle w:val="21"/>
      </w:pPr>
      <w:r>
        <w:t>(一)深入贯彻习近平新时代中国特色社会主义思想，深入贯彻党的路线方针和决策部署，坚持党对检察工作的绝对领导，坚决维护习近平总书记的核心地位，坚决维护党中央权威和集中统一领导。</w:t>
      </w:r>
    </w:p>
    <w:p>
      <w:pPr>
        <w:pStyle w:val="21"/>
      </w:pPr>
      <w:r>
        <w:t>(二)依法向县人民代表大会及其常务委员会提出议案。</w:t>
      </w:r>
    </w:p>
    <w:p>
      <w:pPr>
        <w:pStyle w:val="21"/>
      </w:pPr>
      <w:r>
        <w:t>(三)贯彻落实检察工作方针、总体规划，研究制定检察工作计划并组织实施。</w:t>
      </w:r>
    </w:p>
    <w:p>
      <w:pPr>
        <w:pStyle w:val="21"/>
      </w:pPr>
      <w:r>
        <w:t>(四)依照法律规定对直接受理的刑事案件行使侦査权。</w:t>
      </w:r>
    </w:p>
    <w:p>
      <w:pPr>
        <w:pStyle w:val="21"/>
      </w:pPr>
      <w:r>
        <w:t>(五)负责对管辖的各类刑事案件依法审查批准逮捕、决定逮捕、提起公诉。</w:t>
      </w:r>
    </w:p>
    <w:p>
      <w:pPr>
        <w:pStyle w:val="21"/>
      </w:pPr>
      <w:r>
        <w:t>(六)负责应由本院承办的刑事、民事、行政诉讼活动及刑事、民事、行政判决和裁定等生效法律文书执行的法律监督工作。</w:t>
      </w:r>
    </w:p>
    <w:p>
      <w:pPr>
        <w:pStyle w:val="21"/>
      </w:pPr>
      <w:r>
        <w:t>(七)负责应由本院承办的提起公益诉讼工作。</w:t>
      </w:r>
    </w:p>
    <w:p>
      <w:pPr>
        <w:pStyle w:val="21"/>
      </w:pPr>
      <w:r>
        <w:t>(八)依法受理核准追诉案件，审查是否上报。</w:t>
      </w:r>
    </w:p>
    <w:p>
      <w:pPr>
        <w:pStyle w:val="21"/>
      </w:pPr>
      <w:r>
        <w:t>(九)负责应由本院承办的对看守所、社区矫正等执法活动的法律监督工作。</w:t>
      </w:r>
    </w:p>
    <w:p>
      <w:pPr>
        <w:pStyle w:val="21"/>
      </w:pPr>
      <w:r>
        <w:t>(十)受理向本院的控告申诉。</w:t>
      </w:r>
    </w:p>
    <w:p>
      <w:pPr>
        <w:pStyle w:val="21"/>
      </w:pPr>
      <w:r>
        <w:t>(十ー)组织检察工作中法律政策具体应用问题的研究;组织开展检察理论研究工作。</w:t>
      </w:r>
    </w:p>
    <w:p>
      <w:pPr>
        <w:pStyle w:val="21"/>
      </w:pPr>
      <w:r>
        <w:t>(十ニ)负责检察人员思想政治教育和业务培训工作;按照权限管理检察官和其他工作人员。</w:t>
      </w:r>
    </w:p>
    <w:p>
      <w:pPr>
        <w:pStyle w:val="21"/>
      </w:pPr>
      <w:r>
        <w:t>(十三)负责本院检务督察工作。</w:t>
      </w:r>
    </w:p>
    <w:p>
      <w:pPr>
        <w:pStyle w:val="21"/>
      </w:pPr>
      <w:r>
        <w:t>(十四)负责本院检务保障以及检察技术、信息化建设工作。</w:t>
      </w:r>
    </w:p>
    <w:p>
      <w:pPr>
        <w:pStyle w:val="21"/>
      </w:pPr>
      <w:r>
        <w:t>(十五)完成其他应当由本院负责的工作。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顺平县人民检察院</w:t>
            </w:r>
          </w:p>
        </w:tc>
        <w:tc>
          <w:tcPr>
            <w:tcW w:w="1843" w:type="dxa"/>
            <w:vAlign w:val="center"/>
          </w:tcPr>
          <w:p>
            <w:pPr>
              <w:pStyle w:val="17"/>
            </w:pPr>
            <w:r>
              <w:t>行政</w:t>
            </w:r>
          </w:p>
        </w:tc>
        <w:tc>
          <w:tcPr>
            <w:tcW w:w="2126" w:type="dxa"/>
            <w:vAlign w:val="center"/>
          </w:tcPr>
          <w:p>
            <w:pPr>
              <w:pStyle w:val="17"/>
            </w:pPr>
            <w:r>
              <w:t>副处（县）级</w:t>
            </w:r>
          </w:p>
        </w:tc>
        <w:tc>
          <w:tcPr>
            <w:tcW w:w="3827" w:type="dxa"/>
            <w:vAlign w:val="center"/>
          </w:tcPr>
          <w:p>
            <w:pPr>
              <w:pStyle w:val="17"/>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按照预算管理有关规定，目前我省部门预算的编制实行综合预算管理，即全部收入和支出都反映在预算中。顺平县人民检察院机关及所属事业单位的收支包含在部门预算中。</w:t>
      </w:r>
    </w:p>
    <w:p>
      <w:pPr>
        <w:spacing w:line="500" w:lineRule="exact"/>
        <w:ind w:firstLine="560"/>
        <w:rPr>
          <w:rFonts w:hint="eastAsia" w:eastAsia="方正仿宋_GBK" w:cs="Times New Roman"/>
          <w:color w:val="000000"/>
          <w:sz w:val="28"/>
        </w:rPr>
      </w:pPr>
      <w:r>
        <w:rPr>
          <w:rFonts w:hint="eastAsia" w:eastAsia="方正仿宋_GBK" w:cs="Times New Roman"/>
          <w:color w:val="000000"/>
          <w:sz w:val="28"/>
        </w:rPr>
        <w:t>2023年预算收入为710.18万元，其中：一般公共预算收入710.18万元，基金预算收入0万元，财政专户核拨收入0万元，其他来源收入0万元，2022年预算收入768.53万元，2023年较2022年减少7.59%，原因为项目经费减少。</w:t>
      </w:r>
    </w:p>
    <w:p>
      <w:pPr>
        <w:spacing w:line="500" w:lineRule="exact"/>
        <w:ind w:firstLine="560"/>
        <w:rPr>
          <w:rFonts w:eastAsia="方正仿宋_GBK" w:cs="Times New Roman"/>
          <w:color w:val="000000"/>
          <w:sz w:val="28"/>
        </w:rPr>
      </w:pPr>
      <w:r>
        <w:rPr>
          <w:rFonts w:hint="eastAsia" w:eastAsia="方正仿宋_GBK" w:cs="Times New Roman"/>
          <w:color w:val="000000"/>
          <w:sz w:val="28"/>
        </w:rPr>
        <w:t>2023年预算支出为710.18万元，其中基本支出367.37万元，项目支出342.81万元，2022年预算支出为768.53万元，2023年较2022年减少7.59%，原因为项目经费减少。</w:t>
      </w:r>
    </w:p>
    <w:p>
      <w:pPr>
        <w:pStyle w:val="22"/>
      </w:pP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31"/>
        <w:rPr>
          <w:lang w:val="uk-UA" w:eastAsia="zh-CN"/>
        </w:rPr>
      </w:pPr>
      <w:r>
        <w:rPr>
          <w:rFonts w:hint="eastAsia"/>
        </w:rPr>
        <w:t>顺平县人民检察院机关运行经费安排</w:t>
      </w:r>
      <w:r>
        <w:t>92.4</w:t>
      </w:r>
      <w:r>
        <w:rPr>
          <w:rFonts w:hint="eastAsia"/>
        </w:rPr>
        <w:t>万元，其中办公费</w:t>
      </w:r>
      <w:r>
        <w:t>5.2</w:t>
      </w:r>
      <w:r>
        <w:rPr>
          <w:rFonts w:hint="eastAsia"/>
        </w:rPr>
        <w:t>万元，水费</w:t>
      </w:r>
      <w:r>
        <w:t>4</w:t>
      </w:r>
      <w:r>
        <w:rPr>
          <w:rFonts w:hint="eastAsia"/>
        </w:rPr>
        <w:t>万元，电费</w:t>
      </w:r>
      <w:r>
        <w:t>9</w:t>
      </w:r>
      <w:r>
        <w:rPr>
          <w:rFonts w:hint="eastAsia"/>
        </w:rPr>
        <w:t>万元，邮电费</w:t>
      </w:r>
      <w:r>
        <w:t xml:space="preserve"> 6</w:t>
      </w:r>
      <w:r>
        <w:rPr>
          <w:rFonts w:hint="eastAsia"/>
        </w:rPr>
        <w:t>万元</w:t>
      </w:r>
      <w:r>
        <w:t xml:space="preserve"> </w:t>
      </w:r>
      <w:r>
        <w:rPr>
          <w:rFonts w:hint="eastAsia"/>
        </w:rPr>
        <w:t>，取暖费</w:t>
      </w:r>
      <w:r>
        <w:t>8</w:t>
      </w:r>
      <w:r>
        <w:rPr>
          <w:rFonts w:hint="eastAsia"/>
        </w:rPr>
        <w:t>万元，</w:t>
      </w:r>
      <w:r>
        <w:t xml:space="preserve"> </w:t>
      </w:r>
      <w:r>
        <w:rPr>
          <w:rFonts w:hint="eastAsia"/>
        </w:rPr>
        <w:t>差旅费</w:t>
      </w:r>
      <w:r>
        <w:t xml:space="preserve">1.55 </w:t>
      </w:r>
      <w:r>
        <w:rPr>
          <w:rFonts w:hint="eastAsia"/>
        </w:rPr>
        <w:t>万元，会议费</w:t>
      </w:r>
      <w:r>
        <w:t>2</w:t>
      </w:r>
      <w:r>
        <w:rPr>
          <w:rFonts w:hint="eastAsia"/>
        </w:rPr>
        <w:t>万元，</w:t>
      </w:r>
      <w:r>
        <w:t xml:space="preserve"> </w:t>
      </w:r>
      <w:r>
        <w:rPr>
          <w:rFonts w:hint="eastAsia"/>
        </w:rPr>
        <w:t>培训费</w:t>
      </w:r>
      <w:r>
        <w:t xml:space="preserve"> 4</w:t>
      </w:r>
      <w:r>
        <w:rPr>
          <w:rFonts w:hint="eastAsia"/>
        </w:rPr>
        <w:t>万元</w:t>
      </w:r>
      <w:r>
        <w:t xml:space="preserve"> </w:t>
      </w:r>
      <w:r>
        <w:rPr>
          <w:rFonts w:hint="eastAsia"/>
        </w:rPr>
        <w:t>，公务接待费</w:t>
      </w:r>
      <w:r>
        <w:t>2</w:t>
      </w:r>
      <w:r>
        <w:rPr>
          <w:rFonts w:hint="eastAsia"/>
        </w:rPr>
        <w:t>万元，维修（护）费</w:t>
      </w:r>
      <w:r>
        <w:t>12</w:t>
      </w:r>
      <w:r>
        <w:rPr>
          <w:rFonts w:hint="eastAsia"/>
        </w:rPr>
        <w:t>万元，劳务费</w:t>
      </w:r>
      <w:r>
        <w:t>16</w:t>
      </w:r>
      <w:r>
        <w:rPr>
          <w:rFonts w:hint="eastAsia"/>
        </w:rPr>
        <w:t>万元，工会经费</w:t>
      </w:r>
      <w:r>
        <w:t>3.72</w:t>
      </w:r>
      <w:r>
        <w:rPr>
          <w:rFonts w:hint="eastAsia"/>
        </w:rPr>
        <w:t>万元，福利费</w:t>
      </w:r>
      <w:r>
        <w:t>3.41</w:t>
      </w:r>
      <w:r>
        <w:rPr>
          <w:rFonts w:hint="eastAsia"/>
        </w:rPr>
        <w:t>万元，</w:t>
      </w:r>
      <w:r>
        <w:t xml:space="preserve"> </w:t>
      </w:r>
      <w:r>
        <w:rPr>
          <w:rFonts w:hint="eastAsia"/>
        </w:rPr>
        <w:t>公务用车运行维护费</w:t>
      </w:r>
      <w:r>
        <w:t>6</w:t>
      </w:r>
      <w:r>
        <w:rPr>
          <w:rFonts w:hint="eastAsia"/>
        </w:rPr>
        <w:t>万元，</w:t>
      </w:r>
      <w:r>
        <w:rPr>
          <w:rFonts w:hint="eastAsia" w:asciiTheme="minorEastAsia" w:hAnsiTheme="minorEastAsia" w:eastAsiaTheme="minorEastAsia"/>
          <w:lang w:eastAsia="zh-CN"/>
        </w:rPr>
        <w:t>在职党员活动经费</w:t>
      </w:r>
      <w:r>
        <w:rPr>
          <w:rFonts w:hint="eastAsia" w:eastAsiaTheme="minorEastAsia"/>
          <w:lang w:eastAsia="zh-CN"/>
        </w:rPr>
        <w:t>1</w:t>
      </w:r>
      <w:r>
        <w:rPr>
          <w:rFonts w:eastAsiaTheme="minorEastAsia"/>
          <w:lang w:eastAsia="zh-CN"/>
        </w:rPr>
        <w:t>.95</w:t>
      </w:r>
      <w:r>
        <w:rPr>
          <w:rFonts w:hint="eastAsia" w:eastAsiaTheme="minorEastAsia"/>
          <w:lang w:eastAsia="zh-CN"/>
        </w:rPr>
        <w:t>万元，退休人员福利1</w:t>
      </w:r>
      <w:r>
        <w:rPr>
          <w:rFonts w:eastAsiaTheme="minorEastAsia"/>
          <w:lang w:eastAsia="zh-CN"/>
        </w:rPr>
        <w:t>.25</w:t>
      </w:r>
      <w:r>
        <w:rPr>
          <w:rFonts w:hint="eastAsia" w:eastAsiaTheme="minorEastAsia"/>
          <w:lang w:eastAsia="zh-CN"/>
        </w:rPr>
        <w:t>万元，</w:t>
      </w:r>
      <w:r>
        <w:rPr>
          <w:rFonts w:hint="eastAsia"/>
        </w:rPr>
        <w:t>其他商品和服务支出</w:t>
      </w:r>
      <w:r>
        <w:t>6.32</w:t>
      </w:r>
      <w:r>
        <w:rPr>
          <w:rFonts w:hint="eastAsia"/>
        </w:rPr>
        <w:t>万元</w:t>
      </w:r>
      <w:r>
        <w:rPr>
          <w:rFonts w:hint="eastAsia" w:asciiTheme="minorEastAsia" w:hAnsiTheme="minorEastAsia" w:eastAsiaTheme="minorEastAsia"/>
          <w:lang w:eastAsia="zh-CN"/>
        </w:rPr>
        <w:t>。</w:t>
      </w:r>
    </w:p>
    <w:p>
      <w:pPr>
        <w:pStyle w:val="23"/>
      </w:pP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tbl>
      <w:tblPr>
        <w:tblStyle w:val="8"/>
        <w:tblW w:w="0" w:type="auto"/>
        <w:tblInd w:w="0" w:type="dxa"/>
        <w:tblLayout w:type="fixed"/>
        <w:tblCellMar>
          <w:top w:w="0" w:type="dxa"/>
          <w:left w:w="108" w:type="dxa"/>
          <w:bottom w:w="0" w:type="dxa"/>
          <w:right w:w="108" w:type="dxa"/>
        </w:tblCellMar>
      </w:tblPr>
      <w:tblGrid>
        <w:gridCol w:w="2136"/>
        <w:gridCol w:w="1716"/>
        <w:gridCol w:w="1716"/>
        <w:gridCol w:w="1662"/>
        <w:gridCol w:w="3260"/>
      </w:tblGrid>
      <w:tr>
        <w:tblPrEx>
          <w:tblCellMar>
            <w:top w:w="0" w:type="dxa"/>
            <w:left w:w="108" w:type="dxa"/>
            <w:bottom w:w="0" w:type="dxa"/>
            <w:right w:w="108" w:type="dxa"/>
          </w:tblCellMar>
        </w:tblPrEx>
        <w:trPr>
          <w:trHeight w:val="405" w:hRule="atLeast"/>
        </w:trPr>
        <w:tc>
          <w:tcPr>
            <w:tcW w:w="10490" w:type="dxa"/>
            <w:gridSpan w:val="5"/>
            <w:vAlign w:val="center"/>
          </w:tcPr>
          <w:p>
            <w:pPr>
              <w:spacing w:line="520" w:lineRule="exact"/>
              <w:ind w:firstLine="560" w:firstLineChars="200"/>
              <w:jc w:val="center"/>
              <w:rPr>
                <w:rFonts w:ascii="宋体" w:hAnsi="宋体" w:cs="宋体"/>
                <w:sz w:val="28"/>
                <w:szCs w:val="28"/>
                <w:lang w:eastAsia="zh-CN"/>
              </w:rPr>
            </w:pPr>
            <w:r>
              <w:rPr>
                <w:rFonts w:hint="eastAsia" w:ascii="宋体" w:hAnsi="宋体" w:cs="宋体"/>
                <w:sz w:val="28"/>
                <w:szCs w:val="28"/>
              </w:rPr>
              <w:t>“三公”经费预算情况</w:t>
            </w:r>
          </w:p>
        </w:tc>
      </w:tr>
      <w:tr>
        <w:tblPrEx>
          <w:tblCellMar>
            <w:top w:w="0" w:type="dxa"/>
            <w:left w:w="108" w:type="dxa"/>
            <w:bottom w:w="0" w:type="dxa"/>
            <w:right w:w="108" w:type="dxa"/>
          </w:tblCellMar>
        </w:tblPrEx>
        <w:trPr>
          <w:trHeight w:val="285" w:hRule="atLeast"/>
        </w:trPr>
        <w:tc>
          <w:tcPr>
            <w:tcW w:w="2136" w:type="dxa"/>
            <w:vAlign w:val="center"/>
          </w:tcPr>
          <w:p>
            <w:pPr>
              <w:rPr>
                <w:rFonts w:ascii="宋体" w:hAnsi="宋体" w:cs="宋体"/>
                <w:sz w:val="28"/>
                <w:szCs w:val="28"/>
              </w:rPr>
            </w:pPr>
          </w:p>
        </w:tc>
        <w:tc>
          <w:tcPr>
            <w:tcW w:w="1716" w:type="dxa"/>
            <w:vAlign w:val="center"/>
          </w:tcPr>
          <w:p>
            <w:pPr>
              <w:rPr>
                <w:rFonts w:ascii="宋体" w:hAnsi="宋体" w:cs="宋体"/>
                <w:sz w:val="28"/>
                <w:szCs w:val="28"/>
              </w:rPr>
            </w:pPr>
          </w:p>
        </w:tc>
        <w:tc>
          <w:tcPr>
            <w:tcW w:w="1716" w:type="dxa"/>
            <w:vAlign w:val="center"/>
          </w:tcPr>
          <w:p>
            <w:pPr>
              <w:rPr>
                <w:rFonts w:ascii="宋体" w:hAnsi="宋体" w:cs="宋体"/>
                <w:sz w:val="28"/>
                <w:szCs w:val="28"/>
              </w:rPr>
            </w:pPr>
          </w:p>
        </w:tc>
        <w:tc>
          <w:tcPr>
            <w:tcW w:w="1662" w:type="dxa"/>
            <w:vAlign w:val="center"/>
          </w:tcPr>
          <w:p>
            <w:pPr>
              <w:rPr>
                <w:rFonts w:ascii="宋体" w:hAnsi="宋体" w:cs="宋体"/>
                <w:sz w:val="28"/>
                <w:szCs w:val="28"/>
              </w:rPr>
            </w:pPr>
          </w:p>
        </w:tc>
        <w:tc>
          <w:tcPr>
            <w:tcW w:w="3260" w:type="dxa"/>
            <w:vAlign w:val="center"/>
          </w:tcPr>
          <w:p>
            <w:pPr>
              <w:jc w:val="right"/>
              <w:rPr>
                <w:rFonts w:ascii="宋体" w:hAnsi="宋体" w:cs="宋体"/>
                <w:sz w:val="28"/>
                <w:szCs w:val="28"/>
              </w:rPr>
            </w:pPr>
            <w:r>
              <w:rPr>
                <w:rFonts w:hint="eastAsia" w:ascii="宋体" w:hAnsi="宋体" w:cs="宋体"/>
                <w:sz w:val="28"/>
                <w:szCs w:val="28"/>
              </w:rPr>
              <w:t>单位：元</w:t>
            </w:r>
          </w:p>
        </w:tc>
      </w:tr>
      <w:tr>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项目名称</w:t>
            </w:r>
          </w:p>
        </w:tc>
        <w:tc>
          <w:tcPr>
            <w:tcW w:w="1716"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202</w:t>
            </w:r>
            <w:r>
              <w:rPr>
                <w:rFonts w:ascii="宋体" w:hAnsi="宋体" w:cs="宋体"/>
                <w:sz w:val="28"/>
                <w:szCs w:val="28"/>
              </w:rPr>
              <w:t>2</w:t>
            </w:r>
            <w:r>
              <w:rPr>
                <w:rFonts w:hint="eastAsia" w:ascii="宋体" w:hAnsi="宋体" w:cs="宋体"/>
                <w:sz w:val="28"/>
                <w:szCs w:val="28"/>
              </w:rPr>
              <w:t>年度预算</w:t>
            </w:r>
          </w:p>
        </w:tc>
        <w:tc>
          <w:tcPr>
            <w:tcW w:w="1716"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202</w:t>
            </w:r>
            <w:r>
              <w:rPr>
                <w:rFonts w:ascii="宋体" w:hAnsi="宋体" w:cs="宋体"/>
                <w:sz w:val="28"/>
                <w:szCs w:val="28"/>
              </w:rPr>
              <w:t>3</w:t>
            </w:r>
            <w:r>
              <w:rPr>
                <w:rFonts w:hint="eastAsia" w:ascii="宋体" w:hAnsi="宋体" w:cs="宋体"/>
                <w:sz w:val="28"/>
                <w:szCs w:val="28"/>
              </w:rPr>
              <w:t>年度预算</w:t>
            </w:r>
          </w:p>
        </w:tc>
        <w:tc>
          <w:tcPr>
            <w:tcW w:w="1662"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增减金额</w:t>
            </w:r>
          </w:p>
        </w:tc>
        <w:tc>
          <w:tcPr>
            <w:tcW w:w="3260" w:type="dxa"/>
            <w:tcBorders>
              <w:top w:val="single" w:color="auto" w:sz="4" w:space="0"/>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变化原因</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因公出国经费</w:t>
            </w:r>
          </w:p>
        </w:tc>
        <w:tc>
          <w:tcPr>
            <w:tcW w:w="1716"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1716"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1662" w:type="dxa"/>
            <w:tcBorders>
              <w:top w:val="nil"/>
              <w:left w:val="nil"/>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0</w:t>
            </w:r>
          </w:p>
        </w:tc>
        <w:tc>
          <w:tcPr>
            <w:tcW w:w="3260" w:type="dxa"/>
            <w:tcBorders>
              <w:top w:val="nil"/>
              <w:left w:val="nil"/>
              <w:bottom w:val="single" w:color="auto" w:sz="4" w:space="0"/>
              <w:right w:val="single" w:color="auto" w:sz="4" w:space="0"/>
            </w:tcBorders>
            <w:vAlign w:val="center"/>
          </w:tcPr>
          <w:p>
            <w:pPr>
              <w:rPr>
                <w:rFonts w:ascii="宋体" w:hAnsi="宋体" w:cs="宋体"/>
                <w:sz w:val="28"/>
                <w:szCs w:val="28"/>
              </w:rPr>
            </w:pPr>
            <w:r>
              <w:rPr>
                <w:rFonts w:hint="eastAsia" w:ascii="宋体" w:hAnsi="宋体" w:cs="宋体"/>
                <w:sz w:val="28"/>
                <w:szCs w:val="28"/>
              </w:rPr>
              <w:t>无增减变化</w:t>
            </w:r>
          </w:p>
        </w:tc>
      </w:tr>
      <w:tr>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公务用车购置经费</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cs="宋体"/>
                <w:sz w:val="28"/>
                <w:szCs w:val="28"/>
              </w:rPr>
              <w:t>125000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eastAsia="宋体" w:cs="宋体"/>
                <w:sz w:val="28"/>
                <w:szCs w:val="28"/>
              </w:rPr>
              <w:t>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cs="宋体" w:asciiTheme="minorEastAsia" w:hAnsiTheme="minorEastAsia" w:eastAsiaTheme="minorEastAsia"/>
                <w:sz w:val="28"/>
                <w:szCs w:val="28"/>
                <w:lang w:eastAsia="zh-CN"/>
              </w:rPr>
              <w:t>-</w:t>
            </w:r>
            <w:r>
              <w:rPr>
                <w:rFonts w:ascii="宋体" w:hAnsi="宋体" w:cs="宋体"/>
                <w:sz w:val="28"/>
                <w:szCs w:val="28"/>
              </w:rPr>
              <w:t>125000</w:t>
            </w:r>
          </w:p>
        </w:tc>
        <w:tc>
          <w:tcPr>
            <w:tcW w:w="3260" w:type="dxa"/>
            <w:tcBorders>
              <w:top w:val="nil"/>
              <w:left w:val="nil"/>
              <w:bottom w:val="single" w:color="auto" w:sz="4" w:space="0"/>
              <w:right w:val="single" w:color="auto" w:sz="4" w:space="0"/>
            </w:tcBorders>
            <w:vAlign w:val="center"/>
          </w:tcPr>
          <w:p>
            <w:pPr>
              <w:rPr>
                <w:rFonts w:ascii="宋体" w:hAnsi="宋体" w:cs="宋体"/>
                <w:sz w:val="28"/>
                <w:szCs w:val="28"/>
              </w:rPr>
            </w:pPr>
            <w:r>
              <w:rPr>
                <w:rFonts w:hint="eastAsia" w:ascii="宋体" w:hAnsi="宋体" w:eastAsia="宋体" w:cs="宋体"/>
                <w:sz w:val="28"/>
                <w:szCs w:val="28"/>
              </w:rPr>
              <w:t>厉行节俭，减少开支</w:t>
            </w:r>
          </w:p>
        </w:tc>
      </w:tr>
      <w:tr>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sz w:val="28"/>
                <w:szCs w:val="28"/>
              </w:rPr>
            </w:pPr>
            <w:r>
              <w:rPr>
                <w:rFonts w:hint="eastAsia" w:ascii="宋体" w:hAnsi="宋体" w:cs="宋体"/>
                <w:sz w:val="28"/>
                <w:szCs w:val="28"/>
              </w:rPr>
              <w:t>公务用车运行经费</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cs="宋体"/>
                <w:sz w:val="28"/>
                <w:szCs w:val="28"/>
              </w:rPr>
              <w:t>205000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eastAsia="宋体" w:cs="宋体"/>
                <w:sz w:val="28"/>
                <w:szCs w:val="28"/>
              </w:rPr>
              <w:t>2</w:t>
            </w:r>
            <w:r>
              <w:rPr>
                <w:rFonts w:ascii="宋体" w:hAnsi="宋体" w:eastAsia="宋体" w:cs="宋体"/>
                <w:sz w:val="28"/>
                <w:szCs w:val="28"/>
              </w:rPr>
              <w:t>1</w:t>
            </w:r>
            <w:r>
              <w:rPr>
                <w:rFonts w:hint="eastAsia" w:ascii="宋体" w:hAnsi="宋体" w:eastAsia="宋体" w:cs="宋体"/>
                <w:sz w:val="28"/>
                <w:szCs w:val="28"/>
              </w:rPr>
              <w:t>5000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ascii="宋体" w:hAnsi="宋体" w:cs="宋体"/>
                <w:sz w:val="28"/>
                <w:szCs w:val="28"/>
              </w:rPr>
              <w:t>10000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eastAsia="宋体" w:cs="宋体"/>
                <w:sz w:val="28"/>
                <w:szCs w:val="28"/>
                <w:lang w:eastAsia="zh-CN"/>
              </w:rPr>
              <w:t>公车改变，花费增加</w:t>
            </w:r>
          </w:p>
        </w:tc>
      </w:tr>
      <w:tr>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公务接待费支出</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cs="宋体"/>
                <w:sz w:val="28"/>
                <w:szCs w:val="28"/>
              </w:rPr>
              <w:t>2</w:t>
            </w:r>
            <w:r>
              <w:rPr>
                <w:rFonts w:hint="eastAsia" w:ascii="宋体" w:hAnsi="宋体" w:cs="宋体"/>
                <w:sz w:val="28"/>
                <w:szCs w:val="28"/>
              </w:rPr>
              <w:t>0000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eastAsia="宋体" w:cs="宋体"/>
                <w:sz w:val="28"/>
                <w:szCs w:val="28"/>
              </w:rPr>
              <w:t>20000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cs="宋体"/>
                <w:sz w:val="28"/>
                <w:szCs w:val="28"/>
              </w:rPr>
              <w:t>无增减变化</w:t>
            </w:r>
          </w:p>
        </w:tc>
      </w:tr>
      <w:tr>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vAlign w:val="center"/>
          </w:tcPr>
          <w:p>
            <w:pPr>
              <w:jc w:val="center"/>
              <w:rPr>
                <w:rFonts w:ascii="宋体" w:hAnsi="宋体" w:cs="宋体" w:eastAsiaTheme="minorEastAsia"/>
                <w:sz w:val="28"/>
                <w:szCs w:val="28"/>
              </w:rPr>
            </w:pPr>
            <w:r>
              <w:rPr>
                <w:rFonts w:hint="eastAsia" w:ascii="宋体" w:hAnsi="宋体" w:cs="宋体"/>
                <w:sz w:val="28"/>
                <w:szCs w:val="28"/>
              </w:rPr>
              <w:t>合计</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hint="eastAsia" w:ascii="宋体" w:hAnsi="宋体" w:cs="宋体"/>
                <w:sz w:val="28"/>
                <w:szCs w:val="28"/>
              </w:rPr>
              <w:t>3</w:t>
            </w:r>
            <w:r>
              <w:rPr>
                <w:rFonts w:ascii="宋体" w:hAnsi="宋体" w:cs="宋体"/>
                <w:sz w:val="28"/>
                <w:szCs w:val="28"/>
              </w:rPr>
              <w:t>5</w:t>
            </w:r>
            <w:r>
              <w:rPr>
                <w:rFonts w:hint="eastAsia" w:ascii="宋体" w:hAnsi="宋体" w:cs="宋体"/>
                <w:sz w:val="28"/>
                <w:szCs w:val="28"/>
              </w:rPr>
              <w:t>0000</w:t>
            </w:r>
          </w:p>
        </w:tc>
        <w:tc>
          <w:tcPr>
            <w:tcW w:w="1716" w:type="dxa"/>
            <w:tcBorders>
              <w:top w:val="nil"/>
              <w:left w:val="nil"/>
              <w:bottom w:val="single" w:color="auto" w:sz="4" w:space="0"/>
              <w:right w:val="single" w:color="auto" w:sz="4" w:space="0"/>
            </w:tcBorders>
            <w:vAlign w:val="center"/>
          </w:tcPr>
          <w:p>
            <w:pPr>
              <w:jc w:val="center"/>
              <w:rPr>
                <w:rFonts w:ascii="宋体" w:hAnsi="宋体" w:eastAsia="宋体" w:cs="宋体"/>
                <w:sz w:val="28"/>
                <w:szCs w:val="28"/>
              </w:rPr>
            </w:pPr>
            <w:r>
              <w:rPr>
                <w:rFonts w:ascii="宋体" w:hAnsi="宋体" w:cs="宋体"/>
                <w:sz w:val="28"/>
                <w:szCs w:val="28"/>
              </w:rPr>
              <w:t>235</w:t>
            </w:r>
            <w:r>
              <w:rPr>
                <w:rFonts w:hint="eastAsia" w:ascii="宋体" w:hAnsi="宋体" w:cs="宋体"/>
                <w:sz w:val="28"/>
                <w:szCs w:val="28"/>
              </w:rPr>
              <w:t>000</w:t>
            </w:r>
          </w:p>
        </w:tc>
        <w:tc>
          <w:tcPr>
            <w:tcW w:w="1662" w:type="dxa"/>
            <w:tcBorders>
              <w:top w:val="nil"/>
              <w:left w:val="nil"/>
              <w:bottom w:val="single" w:color="auto" w:sz="4" w:space="0"/>
              <w:right w:val="single" w:color="auto" w:sz="4" w:space="0"/>
            </w:tcBorders>
            <w:vAlign w:val="center"/>
          </w:tcPr>
          <w:p>
            <w:pPr>
              <w:jc w:val="center"/>
              <w:rPr>
                <w:rFonts w:ascii="宋体" w:hAnsi="宋体" w:cs="宋体" w:eastAsiaTheme="minorEastAsia"/>
                <w:sz w:val="28"/>
                <w:szCs w:val="28"/>
              </w:rPr>
            </w:pPr>
            <w:r>
              <w:rPr>
                <w:rFonts w:ascii="宋体" w:hAnsi="宋体" w:cs="宋体"/>
                <w:sz w:val="28"/>
                <w:szCs w:val="28"/>
              </w:rPr>
              <w:t>115000</w:t>
            </w:r>
          </w:p>
        </w:tc>
        <w:tc>
          <w:tcPr>
            <w:tcW w:w="3260" w:type="dxa"/>
            <w:tcBorders>
              <w:top w:val="nil"/>
              <w:left w:val="nil"/>
              <w:bottom w:val="single" w:color="auto" w:sz="4" w:space="0"/>
              <w:right w:val="single" w:color="auto" w:sz="4" w:space="0"/>
            </w:tcBorders>
            <w:vAlign w:val="center"/>
          </w:tcPr>
          <w:p>
            <w:pPr>
              <w:rPr>
                <w:rFonts w:ascii="宋体" w:hAnsi="宋体" w:eastAsia="宋体" w:cs="宋体"/>
                <w:sz w:val="28"/>
                <w:szCs w:val="28"/>
              </w:rPr>
            </w:pPr>
            <w:r>
              <w:rPr>
                <w:rFonts w:hint="eastAsia" w:ascii="宋体" w:hAnsi="宋体" w:eastAsia="宋体" w:cs="宋体"/>
                <w:sz w:val="28"/>
                <w:szCs w:val="28"/>
              </w:rPr>
              <w:t>厉行节俭，减少开支</w:t>
            </w:r>
          </w:p>
        </w:tc>
      </w:tr>
    </w:tbl>
    <w:p>
      <w:pPr>
        <w:pStyle w:val="24"/>
      </w:pP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pPr>
      <w:r>
        <w:rPr>
          <w:rFonts w:eastAsia="方正仿宋_GBK" w:cs="Times New Roman"/>
          <w:color w:val="000000"/>
          <w:sz w:val="28"/>
        </w:rPr>
        <w:t>（一）总体绩效目标</w:t>
      </w:r>
    </w:p>
    <w:p>
      <w:pPr>
        <w:pStyle w:val="25"/>
      </w:pPr>
      <w:r>
        <w:t>紧紧围绕检察工作大局，坚持质量引领、公信引领、服务引领、创新引领、人才引领理念，提振班子队伍“精气”;着力服务全县高质量发展，着力优化法治营商环境，着力保障民营经济发展，着力促进绿色顺平建设，着力助推乡村振兴实施，着力防范化解重大风险；提升检务公开工作水平，提升“两法衔接”工作质量，提升服务区域经济发展工作效能;提高法律监督工作能力，提高检察机制创新水平，提高执法办案规范化建设,全力推动全院工作再上新台阶，为顺平经济社会发展做出应有贡献。</w:t>
      </w:r>
    </w:p>
    <w:p>
      <w:pPr>
        <w:spacing w:line="500" w:lineRule="exact"/>
        <w:ind w:firstLine="560"/>
      </w:pPr>
      <w:r>
        <w:rPr>
          <w:rFonts w:eastAsia="方正仿宋_GBK" w:cs="Times New Roman"/>
          <w:color w:val="000000"/>
          <w:sz w:val="28"/>
        </w:rPr>
        <w:t>（二）分项绩效目标</w:t>
      </w:r>
    </w:p>
    <w:p>
      <w:pPr>
        <w:pStyle w:val="26"/>
      </w:pPr>
      <w:r>
        <w:t>（一）提升检察工作“软实力”。</w:t>
      </w:r>
    </w:p>
    <w:p>
      <w:pPr>
        <w:pStyle w:val="26"/>
      </w:pPr>
      <w:r>
        <w:t>绩效目标：坚持党对检察工作的全面领导，学懂弄通做实习近平新时代中国特色社会主义思想特别是习近平法治思想，不断提高政治站位和履职水平，夯实铸牢维护核心、对党忠诚的思想理论根基。</w:t>
      </w:r>
    </w:p>
    <w:p>
      <w:pPr>
        <w:pStyle w:val="26"/>
      </w:pPr>
      <w:r>
        <w:t>绩效指标：案件、资料上报及时率达到90%。</w:t>
      </w:r>
    </w:p>
    <w:p>
      <w:pPr>
        <w:pStyle w:val="26"/>
      </w:pPr>
      <w:r>
        <w:t>（二）打造服务发展“新动能”。</w:t>
      </w:r>
    </w:p>
    <w:p>
      <w:pPr>
        <w:pStyle w:val="26"/>
      </w:pPr>
      <w:r>
        <w:t>绩效目标：精准把握新时代顺平发展的坐标定位，主动服务区域经济发展工作，切实保障全县“六个新城”战略和“三重四创五优化”活动顺利实施。坚定落实“少捕少押慎诉”司法理念，用足用好“平等保护”司法政策，依法保护各类市场主体，深化企业法律风险防控提示工作，全力打造优质法治化营商环境新高地。</w:t>
      </w:r>
    </w:p>
    <w:p>
      <w:pPr>
        <w:pStyle w:val="26"/>
      </w:pPr>
      <w:r>
        <w:t>绩效指标：群众投诉下降率低于10%。</w:t>
      </w:r>
    </w:p>
    <w:p>
      <w:pPr>
        <w:pStyle w:val="26"/>
      </w:pPr>
      <w:r>
        <w:t>（三）打好维护稳定“组合拳”。</w:t>
      </w:r>
    </w:p>
    <w:p>
      <w:pPr>
        <w:pStyle w:val="26"/>
      </w:pPr>
      <w:r>
        <w:t>绩效目标：充分着眼改革、发展、稳定大局，巩固强化总体国家安全观，严厉打击“套路贷”、集资诈骗、非法吸收公众存款等犯罪，着力深化扫黑除恶专项斗争成果，建立完善依法治理、综合治理、源头治理长效机制，助推县域社会治理现代化，建设更高水平的平安顺平。</w:t>
      </w:r>
    </w:p>
    <w:p>
      <w:pPr>
        <w:pStyle w:val="26"/>
      </w:pPr>
      <w:r>
        <w:t>绩效指标：案件办理率达到90%。</w:t>
      </w:r>
    </w:p>
    <w:p>
      <w:pPr>
        <w:pStyle w:val="26"/>
      </w:pPr>
      <w:r>
        <w:t>（四）强化法律监督“硬指标”。</w:t>
      </w:r>
    </w:p>
    <w:p>
      <w:pPr>
        <w:pStyle w:val="26"/>
      </w:pPr>
      <w:r>
        <w:t>绩效目标：持续强化法律监督，深化落实认罪认罚从宽、降低“案-件比”、行政争议实质性化解、代表委员联络等重点工作落实，全力推动检察工作全面协调充分发展，不断增强人民群众的获得感、幸福感、安全感。</w:t>
      </w:r>
    </w:p>
    <w:p>
      <w:pPr>
        <w:pStyle w:val="26"/>
      </w:pPr>
      <w:r>
        <w:t>绩效指标：案件完结率达到90%。</w:t>
      </w:r>
    </w:p>
    <w:p>
      <w:pPr>
        <w:pStyle w:val="26"/>
      </w:pPr>
      <w:r>
        <w:t>（五）夯实长远发展“总根基”。</w:t>
      </w:r>
    </w:p>
    <w:p>
      <w:pPr>
        <w:pStyle w:val="26"/>
      </w:pPr>
      <w:r>
        <w:t>绩效目标：强化中华传统文化学习渗透，引导激励检察人员依法履职、提升综合素质和专业素养。扎实开展检察队伍整顿，拧紧全面从严治检“螺丝扣”，努力锻造忠诚干净担当的过硬的检察铁军。</w:t>
      </w:r>
    </w:p>
    <w:p>
      <w:pPr>
        <w:pStyle w:val="26"/>
      </w:pPr>
      <w:r>
        <w:t>绩效指标：满意率达到90%。</w:t>
      </w:r>
    </w:p>
    <w:p>
      <w:pPr>
        <w:spacing w:line="500" w:lineRule="exact"/>
        <w:ind w:firstLine="560"/>
      </w:pPr>
      <w:r>
        <w:rPr>
          <w:rFonts w:eastAsia="方正仿宋_GBK" w:cs="Times New Roman"/>
          <w:color w:val="000000"/>
          <w:sz w:val="28"/>
        </w:rPr>
        <w:t>（三）工作保障措施</w:t>
      </w:r>
    </w:p>
    <w:p>
      <w:pPr>
        <w:pStyle w:val="27"/>
      </w:pPr>
      <w:r>
        <w:t>（一）坚决维护国家政治安全和社会稳定。强化检察环节保安全、护稳定各项措施，敏锐、审慎地办好各类影响性案件，与政法各机关同力实施“筑墙”“净土”“攻心”三大工程，依法严惩网络政治谣言和有害信息犯罪，严格危害国家安全犯罪案件备案审查制度。</w:t>
      </w:r>
    </w:p>
    <w:p>
      <w:pPr>
        <w:pStyle w:val="27"/>
      </w:pPr>
      <w:r>
        <w:t>（二）加大打击危害公共安全犯罪力度，严惩重点领域、重点行业危害安全生产犯罪。助力打赢疫情防控阻击战。统筹推进疫情防控和经济社会发展，要依法严惩破坏疫情防控和医疗、市场、生产生活秩序的违法犯罪行为，依法充分适用认罪认罚从宽制度，充分发挥公益诉讼检察职能，注重发挥民事、行政检察监督职能，以高度的政治敏感性和工作自觉性，做好疫情防控工作。</w:t>
      </w:r>
    </w:p>
    <w:p>
      <w:pPr>
        <w:pStyle w:val="27"/>
      </w:pPr>
      <w:r>
        <w:t>（三）贯彻落实中央《关于构建现代环境治理体系的指导意见》，加大破坏生态环境犯罪打击力度，深化一体化办案机制和“三检合一”办案模式。对涉及环境污染领域的公益诉讼案件实行刑事、民事、行政责任一并审查，严厉打击集资诈骗、非法吸收公众存款等涉众型经济犯罪。加强公益诉讼理论研究，不断完善生态环境高水平保护的顺平检察模式。（四）决战决胜扫黑除恶专项斗争。聚力深挖整治，紧盯举报线索、涉黑恶大要案和积年恶性命案不放，紧盯“打伞破网”不放，紧盯“打财断血”不放，认真组织开展重大案件涉伞情况“回头看”专项行动；聚焦提质增效，对所有黑社会性质组织犯罪一律提前介入，认真审核把关，正确引导侦查，坚决防止前面扫黑、后面申诉纠偏问题。</w:t>
      </w:r>
    </w:p>
    <w:p>
      <w:pPr>
        <w:pStyle w:val="27"/>
      </w:pPr>
      <w:r>
        <w:t>（五）致力行业整治，积极参与矿产资源、生态环保等12个重点领域行业乱象整治专项行动。落实习近平总书记重要指示，强化责任担当，注重协调配合，迅速跟进建立相应工作机制、办案机制。立足刑事、民事、行政和公益诉讼检察职能，有序推进公益诉讼检察。强化生态资源、食品安全、国有财产、公共安全领域案件办理。</w:t>
      </w:r>
    </w:p>
    <w:p>
      <w:pPr>
        <w:ind w:firstLine="640"/>
        <w:sectPr>
          <w:pgSz w:w="16840" w:h="11900" w:orient="landscape"/>
          <w:pgMar w:top="1361" w:right="1020" w:bottom="1361" w:left="1020" w:header="720" w:footer="720" w:gutter="0"/>
          <w:cols w:space="720" w:num="1"/>
        </w:sectPr>
      </w:pPr>
      <w:r>
        <w:rPr>
          <w:rFonts w:ascii="方正楷体_GBK" w:hAnsi="方正楷体_GBK" w:eastAsia="方正楷体_GBK" w:cs="方正楷体_GBK"/>
          <w:b/>
          <w:color w:val="000000"/>
          <w:sz w:val="32"/>
        </w:rPr>
        <w:t>第二部分  专项资金绩效目标</w:t>
      </w:r>
    </w:p>
    <w:p>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pPr>
        <w:ind w:firstLine="560"/>
      </w:pPr>
      <w:r>
        <w:rPr>
          <w:rFonts w:ascii="方正仿宋_GBK" w:hAnsi="方正仿宋_GBK" w:eastAsia="方正仿宋_GBK" w:cs="方正仿宋_GBK"/>
          <w:b/>
          <w:color w:val="000000"/>
          <w:sz w:val="28"/>
        </w:rPr>
        <w:t>1、2023年劳务派遣人员经费绩效目标表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1.保障劳务派遣人员经费正常支出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劳务派遣人数</w:t>
            </w:r>
          </w:p>
        </w:tc>
        <w:tc>
          <w:tcPr>
            <w:tcW w:w="2835" w:type="dxa"/>
            <w:vAlign w:val="center"/>
          </w:tcPr>
          <w:p>
            <w:pPr>
              <w:pStyle w:val="16"/>
            </w:pPr>
            <w:r>
              <w:t>劳务派遣人数</w:t>
            </w:r>
          </w:p>
        </w:tc>
        <w:tc>
          <w:tcPr>
            <w:tcW w:w="2551" w:type="dxa"/>
            <w:vAlign w:val="center"/>
          </w:tcPr>
          <w:p>
            <w:pPr>
              <w:pStyle w:val="16"/>
            </w:pPr>
            <w:r>
              <w:t>16人</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资金发放率</w:t>
            </w:r>
          </w:p>
        </w:tc>
        <w:tc>
          <w:tcPr>
            <w:tcW w:w="2835" w:type="dxa"/>
            <w:vAlign w:val="center"/>
          </w:tcPr>
          <w:p>
            <w:pPr>
              <w:pStyle w:val="16"/>
            </w:pPr>
            <w:r>
              <w:t>资金发放占应发的比率</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≤49.84万元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持续服务年限</w:t>
            </w:r>
          </w:p>
        </w:tc>
        <w:tc>
          <w:tcPr>
            <w:tcW w:w="2835" w:type="dxa"/>
            <w:vAlign w:val="center"/>
          </w:tcPr>
          <w:p>
            <w:pPr>
              <w:pStyle w:val="16"/>
            </w:pPr>
            <w:r>
              <w:t>持续服务年限</w:t>
            </w:r>
          </w:p>
        </w:tc>
        <w:tc>
          <w:tcPr>
            <w:tcW w:w="2551" w:type="dxa"/>
            <w:vAlign w:val="center"/>
          </w:tcPr>
          <w:p>
            <w:pPr>
              <w:pStyle w:val="16"/>
            </w:pPr>
            <w:r>
              <w:t>≥1年</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2、2023年书记员人员经费绩效目标表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1.保障书记员经费正常支出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书记员人数</w:t>
            </w:r>
          </w:p>
        </w:tc>
        <w:tc>
          <w:tcPr>
            <w:tcW w:w="2835" w:type="dxa"/>
            <w:vAlign w:val="center"/>
          </w:tcPr>
          <w:p>
            <w:pPr>
              <w:pStyle w:val="16"/>
            </w:pPr>
            <w:r>
              <w:t>书记员人数</w:t>
            </w:r>
          </w:p>
        </w:tc>
        <w:tc>
          <w:tcPr>
            <w:tcW w:w="2551" w:type="dxa"/>
            <w:vAlign w:val="center"/>
          </w:tcPr>
          <w:p>
            <w:pPr>
              <w:pStyle w:val="16"/>
            </w:pPr>
            <w:r>
              <w:t>≥11人</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资金发放率</w:t>
            </w:r>
          </w:p>
        </w:tc>
        <w:tc>
          <w:tcPr>
            <w:tcW w:w="2835" w:type="dxa"/>
            <w:vAlign w:val="center"/>
          </w:tcPr>
          <w:p>
            <w:pPr>
              <w:pStyle w:val="16"/>
            </w:pPr>
            <w:r>
              <w:t>资金发放占应发的比率</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≤73.81万元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可持续影响指标</w:t>
            </w:r>
          </w:p>
        </w:tc>
        <w:tc>
          <w:tcPr>
            <w:tcW w:w="2835" w:type="dxa"/>
            <w:vAlign w:val="center"/>
          </w:tcPr>
          <w:p>
            <w:pPr>
              <w:pStyle w:val="16"/>
            </w:pPr>
            <w:r>
              <w:t>持续服务年限</w:t>
            </w:r>
          </w:p>
        </w:tc>
        <w:tc>
          <w:tcPr>
            <w:tcW w:w="2835" w:type="dxa"/>
            <w:vAlign w:val="center"/>
          </w:tcPr>
          <w:p>
            <w:pPr>
              <w:pStyle w:val="16"/>
            </w:pPr>
            <w:r>
              <w:t>持续服务年限</w:t>
            </w:r>
          </w:p>
        </w:tc>
        <w:tc>
          <w:tcPr>
            <w:tcW w:w="2551" w:type="dxa"/>
            <w:vAlign w:val="center"/>
          </w:tcPr>
          <w:p>
            <w:pPr>
              <w:pStyle w:val="16"/>
            </w:pPr>
            <w:r>
              <w:t>≥1年</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3、达标公用经费绩效目标表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办理案件数</w:t>
            </w:r>
          </w:p>
        </w:tc>
        <w:tc>
          <w:tcPr>
            <w:tcW w:w="2835" w:type="dxa"/>
            <w:vAlign w:val="center"/>
          </w:tcPr>
          <w:p>
            <w:pPr>
              <w:pStyle w:val="16"/>
            </w:pPr>
            <w:r>
              <w:t>办理案件数</w:t>
            </w:r>
          </w:p>
        </w:tc>
        <w:tc>
          <w:tcPr>
            <w:tcW w:w="2551" w:type="dxa"/>
            <w:vAlign w:val="center"/>
          </w:tcPr>
          <w:p>
            <w:pPr>
              <w:pStyle w:val="16"/>
            </w:pPr>
            <w:r>
              <w:t>≥100件</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案件办理率</w:t>
            </w:r>
          </w:p>
        </w:tc>
        <w:tc>
          <w:tcPr>
            <w:tcW w:w="2835" w:type="dxa"/>
            <w:vAlign w:val="center"/>
          </w:tcPr>
          <w:p>
            <w:pPr>
              <w:pStyle w:val="16"/>
            </w:pPr>
            <w:r>
              <w:t>案件办理率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案件、资料上报及时率</w:t>
            </w:r>
          </w:p>
        </w:tc>
        <w:tc>
          <w:tcPr>
            <w:tcW w:w="2835" w:type="dxa"/>
            <w:vAlign w:val="center"/>
          </w:tcPr>
          <w:p>
            <w:pPr>
              <w:pStyle w:val="16"/>
            </w:pPr>
            <w:r>
              <w:t>案件、资料上报及时率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≤82.07万元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群众投诉下降率（%）</w:t>
            </w:r>
          </w:p>
        </w:tc>
        <w:tc>
          <w:tcPr>
            <w:tcW w:w="2835" w:type="dxa"/>
            <w:vAlign w:val="center"/>
          </w:tcPr>
          <w:p>
            <w:pPr>
              <w:pStyle w:val="16"/>
            </w:pPr>
            <w:r>
              <w:t>群众投诉下降率（%）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4、冀财政法【2021】62号提前下达2022年中央纪检监察转移支付资金（上年结转资金）绩效目标表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办理案件数</w:t>
            </w:r>
          </w:p>
        </w:tc>
        <w:tc>
          <w:tcPr>
            <w:tcW w:w="2835" w:type="dxa"/>
            <w:vAlign w:val="center"/>
          </w:tcPr>
          <w:p>
            <w:pPr>
              <w:pStyle w:val="16"/>
            </w:pPr>
            <w:r>
              <w:t>办理案件数</w:t>
            </w:r>
          </w:p>
        </w:tc>
        <w:tc>
          <w:tcPr>
            <w:tcW w:w="2551" w:type="dxa"/>
            <w:vAlign w:val="center"/>
          </w:tcPr>
          <w:p>
            <w:pPr>
              <w:pStyle w:val="16"/>
            </w:pPr>
            <w:r>
              <w:t>≥5件</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案件完结率</w:t>
            </w:r>
          </w:p>
        </w:tc>
        <w:tc>
          <w:tcPr>
            <w:tcW w:w="2835" w:type="dxa"/>
            <w:vAlign w:val="center"/>
          </w:tcPr>
          <w:p>
            <w:pPr>
              <w:pStyle w:val="16"/>
            </w:pPr>
            <w:r>
              <w:t>完结案件数量占总案件的比率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≤2.27万元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群众投诉下降率（%）</w:t>
            </w:r>
          </w:p>
        </w:tc>
        <w:tc>
          <w:tcPr>
            <w:tcW w:w="2835" w:type="dxa"/>
            <w:vAlign w:val="center"/>
          </w:tcPr>
          <w:p>
            <w:pPr>
              <w:pStyle w:val="16"/>
            </w:pPr>
            <w:r>
              <w:t>群众投诉下降率（%）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5、冀财政法【2022】29号下达2022年第二批中央政法转移支付资金绩效目标表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1.及时购买办案所需专用设备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购买设备数量</w:t>
            </w:r>
          </w:p>
        </w:tc>
        <w:tc>
          <w:tcPr>
            <w:tcW w:w="2835" w:type="dxa"/>
            <w:vAlign w:val="center"/>
          </w:tcPr>
          <w:p>
            <w:pPr>
              <w:pStyle w:val="16"/>
            </w:pPr>
            <w:r>
              <w:t>购买设备数量</w:t>
            </w:r>
          </w:p>
        </w:tc>
        <w:tc>
          <w:tcPr>
            <w:tcW w:w="2551" w:type="dxa"/>
            <w:vAlign w:val="center"/>
          </w:tcPr>
          <w:p>
            <w:pPr>
              <w:pStyle w:val="16"/>
            </w:pPr>
            <w:r>
              <w:t>≥1个</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≤0.85万元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保障日常运转率</w:t>
            </w:r>
          </w:p>
        </w:tc>
        <w:tc>
          <w:tcPr>
            <w:tcW w:w="2835" w:type="dxa"/>
            <w:vAlign w:val="center"/>
          </w:tcPr>
          <w:p>
            <w:pPr>
              <w:pStyle w:val="16"/>
            </w:pPr>
            <w:r>
              <w:t>保障日常运转率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6、生态环境损害赔偿金项目经费绩效目标表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1.委托专家或机构出具相关领域鉴定意见</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鉴定案件数</w:t>
            </w:r>
          </w:p>
        </w:tc>
        <w:tc>
          <w:tcPr>
            <w:tcW w:w="2835" w:type="dxa"/>
            <w:vAlign w:val="center"/>
          </w:tcPr>
          <w:p>
            <w:pPr>
              <w:pStyle w:val="16"/>
            </w:pPr>
            <w:r>
              <w:t>鉴定案件数</w:t>
            </w:r>
          </w:p>
        </w:tc>
        <w:tc>
          <w:tcPr>
            <w:tcW w:w="2551" w:type="dxa"/>
            <w:vAlign w:val="center"/>
          </w:tcPr>
          <w:p>
            <w:pPr>
              <w:pStyle w:val="16"/>
            </w:pPr>
            <w:r>
              <w:t>≥1件</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案件完结率</w:t>
            </w:r>
          </w:p>
        </w:tc>
        <w:tc>
          <w:tcPr>
            <w:tcW w:w="2835" w:type="dxa"/>
            <w:vAlign w:val="center"/>
          </w:tcPr>
          <w:p>
            <w:pPr>
              <w:pStyle w:val="16"/>
            </w:pPr>
            <w:r>
              <w:t>案件完结率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≤2万元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群众投诉下降率（%）</w:t>
            </w:r>
          </w:p>
        </w:tc>
        <w:tc>
          <w:tcPr>
            <w:tcW w:w="2835" w:type="dxa"/>
            <w:vAlign w:val="center"/>
          </w:tcPr>
          <w:p>
            <w:pPr>
              <w:pStyle w:val="16"/>
            </w:pPr>
            <w:r>
              <w:t>群众投诉下降率（%）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7、冀财政法【2022】55号提前下达2023年中央政法纪检监察转移支付资金（办案业务经费）绩效目标表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1.办案业务经费，保障检察工作顺利开展，提高办案效率，保证办案质量。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办理案件数</w:t>
            </w:r>
          </w:p>
        </w:tc>
        <w:tc>
          <w:tcPr>
            <w:tcW w:w="2835" w:type="dxa"/>
            <w:vAlign w:val="center"/>
          </w:tcPr>
          <w:p>
            <w:pPr>
              <w:pStyle w:val="16"/>
            </w:pPr>
            <w:r>
              <w:t>办理案件数</w:t>
            </w:r>
          </w:p>
        </w:tc>
        <w:tc>
          <w:tcPr>
            <w:tcW w:w="2551" w:type="dxa"/>
            <w:vAlign w:val="center"/>
          </w:tcPr>
          <w:p>
            <w:pPr>
              <w:pStyle w:val="16"/>
            </w:pPr>
            <w:r>
              <w:t>≥50件</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案件完结率</w:t>
            </w:r>
          </w:p>
        </w:tc>
        <w:tc>
          <w:tcPr>
            <w:tcW w:w="2835" w:type="dxa"/>
            <w:vAlign w:val="center"/>
          </w:tcPr>
          <w:p>
            <w:pPr>
              <w:pStyle w:val="16"/>
            </w:pPr>
            <w:r>
              <w:t>完结案件数量占总案件的比率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≤42万元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群众投诉下降率</w:t>
            </w:r>
          </w:p>
        </w:tc>
        <w:tc>
          <w:tcPr>
            <w:tcW w:w="2835" w:type="dxa"/>
            <w:vAlign w:val="center"/>
          </w:tcPr>
          <w:p>
            <w:pPr>
              <w:pStyle w:val="16"/>
            </w:pPr>
            <w:r>
              <w:t>群众投诉下降率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8、冀财政法【2022】55号提前下达2023年中央政法纪检监察转移支付资金（业务装备经费）绩效目标表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1.及时购买办案所需专用设备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购买设备数量</w:t>
            </w:r>
          </w:p>
        </w:tc>
        <w:tc>
          <w:tcPr>
            <w:tcW w:w="2835" w:type="dxa"/>
            <w:vAlign w:val="center"/>
          </w:tcPr>
          <w:p>
            <w:pPr>
              <w:pStyle w:val="16"/>
            </w:pPr>
            <w:r>
              <w:t>购买设备数量</w:t>
            </w:r>
          </w:p>
        </w:tc>
        <w:tc>
          <w:tcPr>
            <w:tcW w:w="2551" w:type="dxa"/>
            <w:vAlign w:val="center"/>
          </w:tcPr>
          <w:p>
            <w:pPr>
              <w:pStyle w:val="16"/>
            </w:pPr>
            <w:r>
              <w:t>≥1套</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验收合格率</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≤23万元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保障日常运转率</w:t>
            </w:r>
          </w:p>
        </w:tc>
        <w:tc>
          <w:tcPr>
            <w:tcW w:w="2835" w:type="dxa"/>
            <w:vAlign w:val="center"/>
          </w:tcPr>
          <w:p>
            <w:pPr>
              <w:pStyle w:val="16"/>
            </w:pPr>
            <w:r>
              <w:t>保障日常运转率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9、冀财政法【2022】56号提前下达2023年省级基层公检法司转移支付资金（办案业务经费）绩效目标表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1.办案业务经费，保障检察工作顺利开展，提高办案效率，保证办案质量。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办理案件数</w:t>
            </w:r>
          </w:p>
        </w:tc>
        <w:tc>
          <w:tcPr>
            <w:tcW w:w="2835" w:type="dxa"/>
            <w:vAlign w:val="center"/>
          </w:tcPr>
          <w:p>
            <w:pPr>
              <w:pStyle w:val="16"/>
            </w:pPr>
            <w:r>
              <w:t>办理案件数</w:t>
            </w:r>
          </w:p>
        </w:tc>
        <w:tc>
          <w:tcPr>
            <w:tcW w:w="2551" w:type="dxa"/>
            <w:vAlign w:val="center"/>
          </w:tcPr>
          <w:p>
            <w:pPr>
              <w:pStyle w:val="16"/>
            </w:pPr>
            <w:r>
              <w:t>≥50件</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案件完结率</w:t>
            </w:r>
          </w:p>
        </w:tc>
        <w:tc>
          <w:tcPr>
            <w:tcW w:w="2835" w:type="dxa"/>
            <w:vAlign w:val="center"/>
          </w:tcPr>
          <w:p>
            <w:pPr>
              <w:pStyle w:val="16"/>
            </w:pPr>
            <w:r>
              <w:t>完结案件数量占总案件的比率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≤41万元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群众投诉下降率</w:t>
            </w:r>
          </w:p>
        </w:tc>
        <w:tc>
          <w:tcPr>
            <w:tcW w:w="2835" w:type="dxa"/>
            <w:vAlign w:val="center"/>
          </w:tcPr>
          <w:p>
            <w:pPr>
              <w:pStyle w:val="16"/>
            </w:pPr>
            <w:r>
              <w:t>群众投诉下降率</w:t>
            </w:r>
          </w:p>
        </w:tc>
        <w:tc>
          <w:tcPr>
            <w:tcW w:w="2551" w:type="dxa"/>
            <w:vAlign w:val="center"/>
          </w:tcPr>
          <w:p>
            <w:pPr>
              <w:pStyle w:val="16"/>
            </w:pPr>
            <w:r>
              <w:t>≥10%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满意率</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10、冀财政法【2022】56号提前下达2023年省级基层公检法司转移支付资金（业务装备经费）绩效目标表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4"/>
            </w:pPr>
            <w:r>
              <w:t>绩效目标</w:t>
            </w:r>
          </w:p>
        </w:tc>
        <w:tc>
          <w:tcPr>
            <w:tcW w:w="12756" w:type="dxa"/>
            <w:tcBorders>
              <w:bottom w:val="single" w:color="FFFFFF" w:sz="6" w:space="0"/>
            </w:tcBorders>
            <w:vAlign w:val="center"/>
          </w:tcPr>
          <w:p>
            <w:pPr>
              <w:pStyle w:val="16"/>
            </w:pPr>
            <w:r>
              <w:t>1.及时购买办案所需专用设备</w:t>
            </w:r>
          </w:p>
        </w:tc>
      </w:tr>
    </w:tbl>
    <w:p>
      <w:pPr>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2835" w:type="dxa"/>
            <w:vAlign w:val="center"/>
          </w:tcPr>
          <w:p>
            <w:pPr>
              <w:pStyle w:val="14"/>
            </w:pPr>
            <w:r>
              <w:t>绩效指标描述</w:t>
            </w:r>
          </w:p>
        </w:tc>
        <w:tc>
          <w:tcPr>
            <w:tcW w:w="2551" w:type="dxa"/>
            <w:vAlign w:val="center"/>
          </w:tcPr>
          <w:p>
            <w:pPr>
              <w:pStyle w:val="14"/>
            </w:pPr>
            <w:r>
              <w:t>指标值</w:t>
            </w:r>
          </w:p>
        </w:tc>
        <w:tc>
          <w:tcPr>
            <w:tcW w:w="226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购买设备数量</w:t>
            </w:r>
          </w:p>
        </w:tc>
        <w:tc>
          <w:tcPr>
            <w:tcW w:w="2835" w:type="dxa"/>
            <w:vAlign w:val="center"/>
          </w:tcPr>
          <w:p>
            <w:pPr>
              <w:pStyle w:val="16"/>
            </w:pPr>
            <w:r>
              <w:t>购买设备数量</w:t>
            </w:r>
          </w:p>
        </w:tc>
        <w:tc>
          <w:tcPr>
            <w:tcW w:w="2551" w:type="dxa"/>
            <w:vAlign w:val="center"/>
          </w:tcPr>
          <w:p>
            <w:pPr>
              <w:pStyle w:val="16"/>
            </w:pPr>
            <w:r>
              <w:t>≥1套</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2835" w:type="dxa"/>
            <w:vAlign w:val="center"/>
          </w:tcPr>
          <w:p>
            <w:pPr>
              <w:pStyle w:val="16"/>
            </w:pPr>
            <w:r>
              <w:t>验收合格率</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时效指标</w:t>
            </w:r>
          </w:p>
        </w:tc>
        <w:tc>
          <w:tcPr>
            <w:tcW w:w="2835" w:type="dxa"/>
            <w:vAlign w:val="center"/>
          </w:tcPr>
          <w:p>
            <w:pPr>
              <w:pStyle w:val="16"/>
            </w:pPr>
            <w:r>
              <w:t>及时支付率</w:t>
            </w:r>
          </w:p>
        </w:tc>
        <w:tc>
          <w:tcPr>
            <w:tcW w:w="2835" w:type="dxa"/>
            <w:vAlign w:val="center"/>
          </w:tcPr>
          <w:p>
            <w:pPr>
              <w:pStyle w:val="16"/>
            </w:pPr>
            <w:r>
              <w:t>按时支付资金</w:t>
            </w:r>
          </w:p>
        </w:tc>
        <w:tc>
          <w:tcPr>
            <w:tcW w:w="2551" w:type="dxa"/>
            <w:vAlign w:val="center"/>
          </w:tcPr>
          <w:p>
            <w:pPr>
              <w:pStyle w:val="16"/>
            </w:pPr>
            <w:r>
              <w:t>100%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6"/>
            </w:pPr>
            <w:r>
              <w:t>成本指标</w:t>
            </w:r>
          </w:p>
        </w:tc>
        <w:tc>
          <w:tcPr>
            <w:tcW w:w="2835" w:type="dxa"/>
            <w:vAlign w:val="center"/>
          </w:tcPr>
          <w:p>
            <w:pPr>
              <w:pStyle w:val="16"/>
            </w:pPr>
            <w:r>
              <w:t>成本控制数</w:t>
            </w:r>
          </w:p>
        </w:tc>
        <w:tc>
          <w:tcPr>
            <w:tcW w:w="2835" w:type="dxa"/>
            <w:vAlign w:val="center"/>
          </w:tcPr>
          <w:p>
            <w:pPr>
              <w:pStyle w:val="16"/>
            </w:pPr>
            <w:r>
              <w:t>成本控制不超预算</w:t>
            </w:r>
          </w:p>
        </w:tc>
        <w:tc>
          <w:tcPr>
            <w:tcW w:w="2551" w:type="dxa"/>
            <w:vAlign w:val="center"/>
          </w:tcPr>
          <w:p>
            <w:pPr>
              <w:pStyle w:val="16"/>
            </w:pPr>
            <w:r>
              <w:t>≤26万元</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效益指标</w:t>
            </w:r>
          </w:p>
        </w:tc>
        <w:tc>
          <w:tcPr>
            <w:tcW w:w="2268" w:type="dxa"/>
            <w:vAlign w:val="center"/>
          </w:tcPr>
          <w:p>
            <w:pPr>
              <w:pStyle w:val="16"/>
            </w:pPr>
            <w:r>
              <w:t>社会效益指标</w:t>
            </w:r>
          </w:p>
        </w:tc>
        <w:tc>
          <w:tcPr>
            <w:tcW w:w="2835" w:type="dxa"/>
            <w:vAlign w:val="center"/>
          </w:tcPr>
          <w:p>
            <w:pPr>
              <w:pStyle w:val="16"/>
            </w:pPr>
            <w:r>
              <w:t>保障日常运转率</w:t>
            </w:r>
          </w:p>
        </w:tc>
        <w:tc>
          <w:tcPr>
            <w:tcW w:w="2835" w:type="dxa"/>
            <w:vAlign w:val="center"/>
          </w:tcPr>
          <w:p>
            <w:pPr>
              <w:pStyle w:val="16"/>
            </w:pPr>
            <w:r>
              <w:t>保障日常运转率</w:t>
            </w:r>
          </w:p>
        </w:tc>
        <w:tc>
          <w:tcPr>
            <w:tcW w:w="2551" w:type="dxa"/>
            <w:vAlign w:val="center"/>
          </w:tcPr>
          <w:p>
            <w:pPr>
              <w:pStyle w:val="16"/>
            </w:pPr>
            <w:r>
              <w:t>≥90%</w:t>
            </w:r>
          </w:p>
        </w:tc>
        <w:tc>
          <w:tcPr>
            <w:tcW w:w="2268" w:type="dxa"/>
            <w:vAlign w:val="center"/>
          </w:tcPr>
          <w:p>
            <w:pPr>
              <w:pStyle w:val="16"/>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2835" w:type="dxa"/>
            <w:vAlign w:val="center"/>
          </w:tcPr>
          <w:p>
            <w:pPr>
              <w:pStyle w:val="16"/>
            </w:pPr>
            <w:r>
              <w:t>+</w:t>
            </w:r>
          </w:p>
        </w:tc>
        <w:tc>
          <w:tcPr>
            <w:tcW w:w="2551" w:type="dxa"/>
            <w:vAlign w:val="center"/>
          </w:tcPr>
          <w:p>
            <w:pPr>
              <w:pStyle w:val="16"/>
            </w:pPr>
            <w:r>
              <w:t>≥90%</w:t>
            </w:r>
          </w:p>
        </w:tc>
        <w:tc>
          <w:tcPr>
            <w:tcW w:w="2268" w:type="dxa"/>
            <w:vAlign w:val="center"/>
          </w:tcPr>
          <w:p>
            <w:pPr>
              <w:pStyle w:val="16"/>
            </w:pPr>
            <w:r>
              <w:t>问卷调查</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pPr>
        <w:spacing w:line="500" w:lineRule="exact"/>
        <w:ind w:firstLine="560"/>
      </w:pPr>
      <w:r>
        <w:rPr>
          <w:rFonts w:eastAsia="方正仿宋_GBK" w:cs="Times New Roman"/>
          <w:color w:val="000000"/>
          <w:sz w:val="28"/>
        </w:rPr>
        <w:t>2023年，顺平县人民检察院安排政府采购预算0.00万元。具体内容见下表。</w:t>
      </w:r>
    </w:p>
    <w:p>
      <w:pPr>
        <w:jc w:val="center"/>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530顺平县人民检察院</w:t>
            </w:r>
          </w:p>
        </w:tc>
        <w:tc>
          <w:tcPr>
            <w:tcW w:w="8674" w:type="dxa"/>
            <w:gridSpan w:val="9"/>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7710" w:type="dxa"/>
            <w:gridSpan w:val="8"/>
            <w:vAlign w:val="center"/>
          </w:tcPr>
          <w:p>
            <w:pPr>
              <w:pStyle w:val="14"/>
            </w:pPr>
            <w:r>
              <w:t>政府采购金额（当年部门预算安排资金）</w:t>
            </w:r>
          </w:p>
        </w:tc>
        <w:tc>
          <w:tcPr>
            <w:tcW w:w="964" w:type="dxa"/>
            <w:vMerge w:val="restart"/>
            <w:vAlign w:val="center"/>
          </w:tcPr>
          <w:p>
            <w:pPr>
              <w:pStyle w:val="14"/>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财政拨    款结转</w:t>
            </w:r>
          </w:p>
        </w:tc>
        <w:tc>
          <w:tcPr>
            <w:tcW w:w="964" w:type="dxa"/>
            <w:vAlign w:val="center"/>
          </w:tcPr>
          <w:p>
            <w:pPr>
              <w:pStyle w:val="14"/>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s="Times New Roman"/>
          <w:color w:val="000000"/>
          <w:sz w:val="32"/>
        </w:rPr>
        <w:t xml:space="preserve"> </w:t>
      </w:r>
    </w:p>
    <w:p>
      <w:pPr>
        <w:spacing w:before="10" w:after="10"/>
        <w:ind w:firstLine="640"/>
        <w:outlineLvl w:val="2"/>
      </w:pPr>
      <w:bookmarkStart w:id="15" w:name="_Toc_3_3_0000000016"/>
      <w:r>
        <w:rPr>
          <w:rFonts w:ascii="黑体" w:hAnsi="黑体" w:eastAsia="黑体" w:cs="黑体"/>
          <w:color w:val="000000"/>
          <w:sz w:val="32"/>
        </w:rPr>
        <w:t>七、国有资产信息</w:t>
      </w:r>
      <w:bookmarkEnd w:id="15"/>
    </w:p>
    <w:p>
      <w:pPr>
        <w:spacing w:line="500" w:lineRule="exact"/>
        <w:ind w:firstLine="560"/>
      </w:pPr>
      <w:r>
        <w:rPr>
          <w:rFonts w:eastAsia="方正仿宋_GBK" w:cs="Times New Roman"/>
          <w:color w:val="000000"/>
          <w:sz w:val="28"/>
        </w:rPr>
        <w:t>顺平县人民检察院（含所属单位）上年末固定资产金额为</w:t>
      </w:r>
      <w:r>
        <w:rPr>
          <w:rFonts w:hint="eastAsia" w:eastAsia="方正仿宋_GBK" w:cs="Times New Roman"/>
          <w:color w:val="000000"/>
          <w:sz w:val="28"/>
          <w:lang w:val="en-US" w:eastAsia="zh-CN"/>
        </w:rPr>
        <w:t>1852.07</w:t>
      </w:r>
      <w:r>
        <w:rPr>
          <w:rFonts w:eastAsia="方正仿宋_GBK" w:cs="Times New Roman"/>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t>530001顺平县人民检察院</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栏　　次</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2</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二、固定资产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rPr>
                <w:lang w:eastAsia="zh-CN"/>
              </w:rPr>
            </w:pPr>
            <w:r>
              <w:t>1852.07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xml:space="preserve">  （一）房屋（平方米）</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674</w:t>
            </w:r>
            <w:r>
              <w:t>.</w:t>
            </w:r>
            <w:r>
              <w:rPr>
                <w:rFonts w:hint="eastAsia"/>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xml:space="preserve">        1.办公用房</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674</w:t>
            </w:r>
            <w:r>
              <w:t>.</w:t>
            </w:r>
            <w:r>
              <w:rPr>
                <w:rFonts w:hint="eastAsia"/>
              </w:rPr>
              <w:t>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2.业务用房</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　</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3.其他（不含构筑物）</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xml:space="preserve">  （二）车辆（台、辆）</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xml:space="preserve">        1.轿车</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t>141.75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xml:space="preserve">   （三）设备</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 xml:space="preserve">  （四）其他固定资产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7"/>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pPr>
              <w:pStyle w:val="15"/>
              <w:rPr>
                <w:lang w:eastAsia="zh-CN"/>
              </w:rPr>
            </w:pPr>
            <w:r>
              <w:rPr>
                <w:rFonts w:hint="eastAsia"/>
                <w:lang w:eastAsia="zh-CN"/>
              </w:rPr>
              <w:t>1</w:t>
            </w:r>
            <w:r>
              <w:rPr>
                <w:lang w:eastAsia="zh-CN"/>
              </w:rPr>
              <w:t>036.11</w:t>
            </w:r>
          </w:p>
        </w:tc>
      </w:tr>
    </w:tbl>
    <w:p>
      <w:pPr>
        <w:ind w:firstLine="420"/>
      </w:pPr>
      <w:r>
        <w:rPr>
          <w:rFonts w:ascii="方正书宋_GBK" w:hAnsi="方正书宋_GBK" w:eastAsia="方正书宋_GBK" w:cs="方正书宋_GBK"/>
          <w:color w:val="000000"/>
          <w:sz w:val="21"/>
        </w:rPr>
        <w:t>注：无固定资产占用情况，空表列示。</w:t>
      </w:r>
    </w:p>
    <w:p>
      <w:pPr>
        <w:ind w:firstLine="640"/>
      </w:pPr>
      <w:r>
        <w:rPr>
          <w:rFonts w:eastAsia="方正仿宋_GBK" w:cs="Times New Roman"/>
          <w:color w:val="000000"/>
          <w:sz w:val="32"/>
        </w:rPr>
        <w:t xml:space="preserve"> </w:t>
      </w:r>
    </w:p>
    <w:p>
      <w:pPr>
        <w:spacing w:before="10" w:after="10"/>
        <w:ind w:firstLine="640"/>
        <w:outlineLvl w:val="2"/>
      </w:pPr>
      <w:bookmarkStart w:id="16" w:name="_Toc_3_3_0000000017"/>
      <w:r>
        <w:rPr>
          <w:rFonts w:ascii="黑体" w:hAnsi="黑体" w:eastAsia="黑体" w:cs="黑体"/>
          <w:color w:val="000000"/>
          <w:sz w:val="32"/>
        </w:rPr>
        <w:t>八、名词解释</w:t>
      </w:r>
      <w:bookmarkEnd w:id="16"/>
    </w:p>
    <w:p>
      <w:pPr>
        <w:spacing w:line="500" w:lineRule="exact"/>
        <w:ind w:firstLine="560"/>
      </w:pPr>
      <w:r>
        <w:rPr>
          <w:rFonts w:eastAsia="方正仿宋_GBK" w:cs="Times New Roman"/>
          <w:color w:val="000000"/>
          <w:sz w:val="28"/>
        </w:rPr>
        <w:t>1、</w:t>
      </w:r>
      <w:r>
        <w:rPr>
          <w:rFonts w:eastAsia="方正仿宋_GBK" w:cs="Times New Roman"/>
          <w:b/>
          <w:color w:val="000000"/>
          <w:sz w:val="28"/>
        </w:rPr>
        <w:t>一般公共预算拨款收入：</w:t>
      </w:r>
      <w:r>
        <w:rPr>
          <w:rFonts w:eastAsia="方正仿宋_GBK" w:cs="Times New Roman"/>
          <w:color w:val="000000"/>
          <w:sz w:val="28"/>
        </w:rPr>
        <w:t>指省级财政当年拨付的资金。</w:t>
      </w:r>
    </w:p>
    <w:p>
      <w:pPr>
        <w:spacing w:line="500" w:lineRule="exact"/>
        <w:ind w:firstLine="560"/>
      </w:pPr>
      <w:r>
        <w:rPr>
          <w:rFonts w:eastAsia="方正仿宋_GBK" w:cs="Times New Roman"/>
          <w:color w:val="000000"/>
          <w:sz w:val="28"/>
        </w:rPr>
        <w:t>2、</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其他收入：</w:t>
      </w:r>
      <w:r>
        <w:rPr>
          <w:rFonts w:eastAsia="方正仿宋_GBK" w:cs="Times New Roman"/>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基本支出：</w:t>
      </w:r>
      <w:r>
        <w:rPr>
          <w:rFonts w:eastAsia="方正仿宋_GBK" w:cs="Times New Roman"/>
          <w:color w:val="000000"/>
          <w:sz w:val="28"/>
        </w:rPr>
        <w:t>指为保障机构正常运转、完成日常工作任务而发生的人员支出和公用支出。</w:t>
      </w:r>
    </w:p>
    <w:p>
      <w:pPr>
        <w:spacing w:line="500" w:lineRule="exact"/>
        <w:ind w:firstLine="560"/>
      </w:pPr>
      <w:r>
        <w:rPr>
          <w:rFonts w:eastAsia="方正仿宋_GBK" w:cs="Times New Roman"/>
          <w:color w:val="000000"/>
          <w:sz w:val="28"/>
        </w:rPr>
        <w:t>5、</w:t>
      </w:r>
      <w:r>
        <w:rPr>
          <w:rFonts w:eastAsia="方正仿宋_GBK" w:cs="Times New Roman"/>
          <w:b/>
          <w:color w:val="000000"/>
          <w:sz w:val="28"/>
        </w:rPr>
        <w:t>项目支出：</w:t>
      </w:r>
      <w:r>
        <w:rPr>
          <w:rFonts w:eastAsia="方正仿宋_GBK" w:cs="Times New Roman"/>
          <w:color w:val="000000"/>
          <w:sz w:val="28"/>
        </w:rPr>
        <w:t>指在基本支出之外为完成特定行政任务和事业发展目标所发生的支出。</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上缴上级支出：</w:t>
      </w:r>
      <w:r>
        <w:rPr>
          <w:rFonts w:eastAsia="方正仿宋_GBK" w:cs="Times New Roman"/>
          <w:color w:val="000000"/>
          <w:sz w:val="28"/>
        </w:rPr>
        <w:t>指下级单位上缴上级的支出。</w:t>
      </w:r>
    </w:p>
    <w:p>
      <w:pPr>
        <w:spacing w:line="500" w:lineRule="exact"/>
        <w:ind w:firstLine="560"/>
      </w:pPr>
      <w:r>
        <w:rPr>
          <w:rFonts w:eastAsia="方正仿宋_GBK" w:cs="Times New Roman"/>
          <w:color w:val="000000"/>
          <w:sz w:val="28"/>
        </w:rPr>
        <w:t>7、</w:t>
      </w:r>
      <w:r>
        <w:rPr>
          <w:rFonts w:eastAsia="方正仿宋_GBK" w:cs="Times New Roman"/>
          <w:b/>
          <w:color w:val="000000"/>
          <w:sz w:val="28"/>
        </w:rPr>
        <w:t>“三公”经费：</w:t>
      </w:r>
      <w:r>
        <w:rPr>
          <w:rFonts w:eastAsia="方正仿宋_GBK" w:cs="Times New Roman"/>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机关运行费：</w:t>
      </w:r>
      <w:r>
        <w:rPr>
          <w:rFonts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上年结转：</w:t>
      </w:r>
      <w:r>
        <w:rPr>
          <w:rFonts w:eastAsia="方正仿宋_GBK" w:cs="Times New Roman"/>
          <w:color w:val="000000"/>
          <w:sz w:val="28"/>
        </w:rPr>
        <w:t>指以前年度尚未完成、结转到本年仍按原规定用途继续使用的资金。</w:t>
      </w:r>
    </w:p>
    <w:p>
      <w:pPr>
        <w:spacing w:line="500" w:lineRule="exact"/>
        <w:ind w:firstLine="560"/>
      </w:pPr>
      <w:r>
        <w:rPr>
          <w:rFonts w:eastAsia="方正仿宋_GBK" w:cs="Times New Roman"/>
          <w:color w:val="000000"/>
          <w:sz w:val="28"/>
        </w:rPr>
        <w:t>10、</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before="10" w:after="10"/>
        <w:ind w:firstLine="640" w:firstLineChars="200"/>
        <w:outlineLvl w:val="2"/>
      </w:pPr>
      <w:bookmarkStart w:id="17" w:name="_Toc_3_3_0000000018"/>
      <w:r>
        <w:rPr>
          <w:rFonts w:ascii="黑体" w:hAnsi="黑体" w:eastAsia="黑体" w:cs="黑体"/>
          <w:color w:val="000000"/>
          <w:sz w:val="32"/>
        </w:rPr>
        <w:t>九、其他需要说明的事项</w:t>
      </w:r>
      <w:bookmarkEnd w:id="17"/>
    </w:p>
    <w:p>
      <w:pPr>
        <w:spacing w:line="500" w:lineRule="exact"/>
        <w:ind w:firstLine="560"/>
        <w:rPr>
          <w:lang w:val="uk-UA"/>
        </w:rPr>
      </w:pPr>
      <w:r>
        <w:rPr>
          <w:rFonts w:eastAsia="方正仿宋_GBK" w:cs="Times New Roman"/>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page number</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AA7"/>
    <w:rsid w:val="00172422"/>
    <w:rsid w:val="00264562"/>
    <w:rsid w:val="00465AA7"/>
    <w:rsid w:val="00566D29"/>
    <w:rsid w:val="00AE6292"/>
    <w:rsid w:val="00B37F41"/>
    <w:rsid w:val="00D9697F"/>
    <w:rsid w:val="00DA7B39"/>
    <w:rsid w:val="00F17E49"/>
    <w:rsid w:val="00FC2C90"/>
    <w:rsid w:val="0261702E"/>
    <w:rsid w:val="204660CA"/>
    <w:rsid w:val="38930499"/>
    <w:rsid w:val="3B9D1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4"/>
    <w:unhideWhenUsed/>
    <w:qFormat/>
    <w:uiPriority w:val="99"/>
    <w:pPr>
      <w:tabs>
        <w:tab w:val="center" w:pos="4153"/>
        <w:tab w:val="right" w:pos="8306"/>
      </w:tabs>
      <w:snapToGrid w:val="0"/>
    </w:pPr>
    <w:rPr>
      <w:sz w:val="18"/>
      <w:szCs w:val="18"/>
    </w:rPr>
  </w:style>
  <w:style w:type="paragraph" w:styleId="4">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s="Times New Roman"/>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cs="Times New Roman"/>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5">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单位职责文件"/>
    <w:basedOn w:val="1"/>
    <w:qFormat/>
    <w:uiPriority w:val="0"/>
    <w:pPr>
      <w:spacing w:line="500" w:lineRule="exact"/>
      <w:ind w:firstLine="560"/>
    </w:pPr>
    <w:rPr>
      <w:rFonts w:eastAsia="方正仿宋_GBK" w:cs="Times New Roman"/>
      <w:sz w:val="28"/>
    </w:rPr>
  </w:style>
  <w:style w:type="paragraph" w:customStyle="1" w:styleId="30">
    <w:name w:val="插入文本样式-插入预算公开单位预算安排的总体情况文件"/>
    <w:basedOn w:val="1"/>
    <w:qFormat/>
    <w:uiPriority w:val="0"/>
    <w:pPr>
      <w:spacing w:line="500" w:lineRule="exact"/>
      <w:ind w:firstLine="560"/>
    </w:pPr>
    <w:rPr>
      <w:rFonts w:eastAsia="方正仿宋_GBK" w:cs="Times New Roman"/>
      <w:sz w:val="28"/>
    </w:rPr>
  </w:style>
  <w:style w:type="paragraph" w:customStyle="1" w:styleId="31">
    <w:name w:val="插入文本样式-插入预算公开单位机关运行经费安排情况文件"/>
    <w:basedOn w:val="1"/>
    <w:qFormat/>
    <w:uiPriority w:val="0"/>
    <w:pPr>
      <w:spacing w:line="500" w:lineRule="exact"/>
      <w:ind w:firstLine="560"/>
    </w:pPr>
    <w:rPr>
      <w:rFonts w:eastAsia="方正仿宋_GBK" w:cs="Times New Roman"/>
      <w:sz w:val="28"/>
    </w:rPr>
  </w:style>
  <w:style w:type="paragraph" w:customStyle="1" w:styleId="32">
    <w:name w:val="插入文本样式-插入预算公开单位财政拨款三公经费预算情况及增减变化原因文件"/>
    <w:basedOn w:val="1"/>
    <w:qFormat/>
    <w:uiPriority w:val="0"/>
    <w:pPr>
      <w:spacing w:line="500" w:lineRule="exact"/>
      <w:ind w:firstLine="560"/>
    </w:pPr>
    <w:rPr>
      <w:rFonts w:eastAsia="方正仿宋_GBK" w:cs="Times New Roman"/>
      <w:sz w:val="28"/>
    </w:rPr>
  </w:style>
  <w:style w:type="character" w:customStyle="1" w:styleId="33">
    <w:name w:val="页眉 字符"/>
    <w:basedOn w:val="10"/>
    <w:link w:val="4"/>
    <w:uiPriority w:val="99"/>
    <w:rPr>
      <w:rFonts w:ascii="Times New Roman" w:hAnsi="Times New Roman" w:eastAsia="Times New Roman"/>
      <w:sz w:val="18"/>
      <w:szCs w:val="18"/>
      <w:lang w:eastAsia="uk-UA"/>
    </w:rPr>
  </w:style>
  <w:style w:type="character" w:customStyle="1" w:styleId="34">
    <w:name w:val="页脚 字符"/>
    <w:basedOn w:val="10"/>
    <w:link w:val="3"/>
    <w:qFormat/>
    <w:uiPriority w:val="99"/>
    <w:rPr>
      <w:rFonts w:ascii="Times New Roman" w:hAnsi="Times New Roman"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0" Type="http://schemas.openxmlformats.org/officeDocument/2006/relationships/fontTable" Target="fontTable.xml"/><Relationship Id="rId6" Type="http://schemas.openxmlformats.org/officeDocument/2006/relationships/footer" Target="footer2.xml"/><Relationship Id="rId59" Type="http://schemas.openxmlformats.org/officeDocument/2006/relationships/customXml" Target="../customXml/item52.xml"/><Relationship Id="rId58" Type="http://schemas.openxmlformats.org/officeDocument/2006/relationships/customXml" Target="../customXml/item51.xml"/><Relationship Id="rId57" Type="http://schemas.openxmlformats.org/officeDocument/2006/relationships/customXml" Target="../customXml/item50.xml"/><Relationship Id="rId56" Type="http://schemas.openxmlformats.org/officeDocument/2006/relationships/customXml" Target="../customXml/item49.xml"/><Relationship Id="rId55" Type="http://schemas.openxmlformats.org/officeDocument/2006/relationships/customXml" Target="../customXml/item48.xml"/><Relationship Id="rId54" Type="http://schemas.openxmlformats.org/officeDocument/2006/relationships/customXml" Target="../customXml/item47.xml"/><Relationship Id="rId53" Type="http://schemas.openxmlformats.org/officeDocument/2006/relationships/customXml" Target="../customXml/item46.xml"/><Relationship Id="rId52" Type="http://schemas.openxmlformats.org/officeDocument/2006/relationships/customXml" Target="../customXml/item45.xml"/><Relationship Id="rId51" Type="http://schemas.openxmlformats.org/officeDocument/2006/relationships/customXml" Target="../customXml/item44.xml"/><Relationship Id="rId50" Type="http://schemas.openxmlformats.org/officeDocument/2006/relationships/customXml" Target="../customXml/item43.xml"/><Relationship Id="rId5" Type="http://schemas.openxmlformats.org/officeDocument/2006/relationships/footer" Target="footer1.xml"/><Relationship Id="rId49" Type="http://schemas.openxmlformats.org/officeDocument/2006/relationships/customXml" Target="../customXml/item42.xml"/><Relationship Id="rId48" Type="http://schemas.openxmlformats.org/officeDocument/2006/relationships/customXml" Target="../customXml/item41.xml"/><Relationship Id="rId47" Type="http://schemas.openxmlformats.org/officeDocument/2006/relationships/customXml" Target="../customXml/item40.xml"/><Relationship Id="rId46" Type="http://schemas.openxmlformats.org/officeDocument/2006/relationships/customXml" Target="../customXml/item39.xml"/><Relationship Id="rId45" Type="http://schemas.openxmlformats.org/officeDocument/2006/relationships/customXml" Target="../customXml/item38.xml"/><Relationship Id="rId44" Type="http://schemas.openxmlformats.org/officeDocument/2006/relationships/customXml" Target="../customXml/item37.xml"/><Relationship Id="rId43" Type="http://schemas.openxmlformats.org/officeDocument/2006/relationships/customXml" Target="../customXml/item36.xml"/><Relationship Id="rId42" Type="http://schemas.openxmlformats.org/officeDocument/2006/relationships/customXml" Target="../customXml/item35.xml"/><Relationship Id="rId41" Type="http://schemas.openxmlformats.org/officeDocument/2006/relationships/customXml" Target="../customXml/item34.xml"/><Relationship Id="rId40" Type="http://schemas.openxmlformats.org/officeDocument/2006/relationships/customXml" Target="../customXml/item33.xml"/><Relationship Id="rId4" Type="http://schemas.openxmlformats.org/officeDocument/2006/relationships/header" Target="header2.xml"/><Relationship Id="rId39" Type="http://schemas.openxmlformats.org/officeDocument/2006/relationships/customXml" Target="../customXml/item32.xml"/><Relationship Id="rId38" Type="http://schemas.openxmlformats.org/officeDocument/2006/relationships/customXml" Target="../customXml/item31.xml"/><Relationship Id="rId37" Type="http://schemas.openxmlformats.org/officeDocument/2006/relationships/customXml" Target="../customXml/item30.xml"/><Relationship Id="rId36" Type="http://schemas.openxmlformats.org/officeDocument/2006/relationships/customXml" Target="../customXml/item29.xml"/><Relationship Id="rId35" Type="http://schemas.openxmlformats.org/officeDocument/2006/relationships/customXml" Target="../customXml/item28.xml"/><Relationship Id="rId34" Type="http://schemas.openxmlformats.org/officeDocument/2006/relationships/customXml" Target="../customXml/item27.xml"/><Relationship Id="rId33" Type="http://schemas.openxmlformats.org/officeDocument/2006/relationships/customXml" Target="../customXml/item26.xml"/><Relationship Id="rId32" Type="http://schemas.openxmlformats.org/officeDocument/2006/relationships/customXml" Target="../customXml/item25.xml"/><Relationship Id="rId31" Type="http://schemas.openxmlformats.org/officeDocument/2006/relationships/customXml" Target="../customXml/item24.xml"/><Relationship Id="rId30" Type="http://schemas.openxmlformats.org/officeDocument/2006/relationships/customXml" Target="../customXml/item23.xml"/><Relationship Id="rId3" Type="http://schemas.openxmlformats.org/officeDocument/2006/relationships/header" Target="header1.xml"/><Relationship Id="rId29" Type="http://schemas.openxmlformats.org/officeDocument/2006/relationships/customXml" Target="../customXml/item22.xml"/><Relationship Id="rId28" Type="http://schemas.openxmlformats.org/officeDocument/2006/relationships/customXml" Target="../customXml/item21.xml"/><Relationship Id="rId27" Type="http://schemas.openxmlformats.org/officeDocument/2006/relationships/customXml" Target="../customXml/item20.xml"/><Relationship Id="rId26" Type="http://schemas.openxmlformats.org/officeDocument/2006/relationships/customXml" Target="../customXml/item19.xml"/><Relationship Id="rId25" Type="http://schemas.openxmlformats.org/officeDocument/2006/relationships/customXml" Target="../customXml/item18.xml"/><Relationship Id="rId24" Type="http://schemas.openxmlformats.org/officeDocument/2006/relationships/customXml" Target="../customXml/item17.xml"/><Relationship Id="rId23" Type="http://schemas.openxmlformats.org/officeDocument/2006/relationships/customXml" Target="../customXml/item16.xml"/><Relationship Id="rId22" Type="http://schemas.openxmlformats.org/officeDocument/2006/relationships/customXml" Target="../customXml/item15.xml"/><Relationship Id="rId21" Type="http://schemas.openxmlformats.org/officeDocument/2006/relationships/customXml" Target="../customXml/item14.xml"/><Relationship Id="rId20" Type="http://schemas.openxmlformats.org/officeDocument/2006/relationships/customXml" Target="../customXml/item13.xml"/><Relationship Id="rId2" Type="http://schemas.openxmlformats.org/officeDocument/2006/relationships/settings" Target="settings.xml"/><Relationship Id="rId19" Type="http://schemas.openxmlformats.org/officeDocument/2006/relationships/customXml" Target="../customXml/item12.xml"/><Relationship Id="rId18" Type="http://schemas.openxmlformats.org/officeDocument/2006/relationships/customXml" Target="../customXml/item11.xml"/><Relationship Id="rId17" Type="http://schemas.openxmlformats.org/officeDocument/2006/relationships/customXml" Target="../customXml/item10.xml"/><Relationship Id="rId16" Type="http://schemas.openxmlformats.org/officeDocument/2006/relationships/customXml" Target="../customXml/item9.xml"/><Relationship Id="rId15" Type="http://schemas.openxmlformats.org/officeDocument/2006/relationships/customXml" Target="../customXml/item8.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2023-03-06T09:16:56Z</dcterms:created>
  <dcterms:modified xsi:type="dcterms:W3CDTF">2023-03-06T01:16:56Z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2023-03-06T09:16:43Z</dcterms:created>
  <dcterms:modified xsi:type="dcterms:W3CDTF">2023-03-06T01:16:42Z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2023-03-06T09:16:52Z</dcterms:created>
  <dcterms:modified xsi:type="dcterms:W3CDTF">2023-03-06T01:16:52Z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2023-03-06T09:16:47Z</dcterms:created>
  <dcterms:modified xsi:type="dcterms:W3CDTF">2023-03-06T01:16:47Z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37.xml><?xml version="1.0" encoding="utf-8"?>
<b:Sources xmlns:b="http://schemas.openxmlformats.org/officeDocument/2006/bibliography" xmlns="http://schemas.openxmlformats.org/officeDocument/2006/bibliography" SelectedStyle="\APASixthEditionOfficeOnline.xsl" StyleName="APA" Version="6"/>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2023-03-06T09:16:46Z</dcterms:created>
  <dcterms:modified xsi:type="dcterms:W3CDTF">2023-03-06T01:16:46Z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2023-03-06T09:16:56Z</dcterms:created>
  <dcterms:modified xsi:type="dcterms:W3CDTF">2023-03-06T01:16:56Z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2023-03-06T09:16:48Z</dcterms:created>
  <dcterms:modified xsi:type="dcterms:W3CDTF">2023-03-06T01:16:48Z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2023-03-06T09:16:56Z</dcterms:created>
  <dcterms:modified xsi:type="dcterms:W3CDTF">2023-03-06T01:16:56Z</dcterms:modified>
</cp:core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2023-03-06T09:16:55Z</dcterms:created>
  <dcterms:modified xsi:type="dcterms:W3CDTF">2023-03-06T01:16:55Z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19760C-0F94-41FA-AF6F-AC57FF4AC855}">
  <ds:schemaRefs/>
</ds:datastoreItem>
</file>

<file path=customXml/itemProps3.xml><?xml version="1.0" encoding="utf-8"?>
<ds:datastoreItem xmlns:ds="http://schemas.openxmlformats.org/officeDocument/2006/customXml" ds:itemID="{26ED4313-594C-4DFF-B38A-01AD43DC199F}">
  <ds:schemaRefs/>
</ds:datastoreItem>
</file>

<file path=customXml/itemProps4.xml><?xml version="1.0" encoding="utf-8"?>
<ds:datastoreItem xmlns:ds="http://schemas.openxmlformats.org/officeDocument/2006/customXml" ds:itemID="{76CF167F-3F05-4E81-97C1-33D6B3966834}">
  <ds:schemaRefs/>
</ds:datastoreItem>
</file>

<file path=customXml/itemProps5.xml><?xml version="1.0" encoding="utf-8"?>
<ds:datastoreItem xmlns:ds="http://schemas.openxmlformats.org/officeDocument/2006/customXml" ds:itemID="{4B82F500-8E50-4807-BF6E-2D4781AA451F}">
  <ds:schemaRefs/>
</ds:datastoreItem>
</file>

<file path=customXml/itemProps6.xml><?xml version="1.0" encoding="utf-8"?>
<ds:datastoreItem xmlns:ds="http://schemas.openxmlformats.org/officeDocument/2006/customXml" ds:itemID="{80530B5C-B41C-4352-AB1B-B5F84D5ECBA8}">
  <ds:schemaRefs/>
</ds:datastoreItem>
</file>

<file path=customXml/itemProps7.xml><?xml version="1.0" encoding="utf-8"?>
<ds:datastoreItem xmlns:ds="http://schemas.openxmlformats.org/officeDocument/2006/customXml" ds:itemID="{0001D801-B554-4450-A778-27171EE34662}">
  <ds:schemaRefs/>
</ds:datastoreItem>
</file>

<file path=customXml/itemProps8.xml><?xml version="1.0" encoding="utf-8"?>
<ds:datastoreItem xmlns:ds="http://schemas.openxmlformats.org/officeDocument/2006/customXml" ds:itemID="{EA297E28-2C13-436E-94BB-35044074AD65}">
  <ds:schemaRefs/>
</ds:datastoreItem>
</file>

<file path=customXml/itemProps9.xml><?xml version="1.0" encoding="utf-8"?>
<ds:datastoreItem xmlns:ds="http://schemas.openxmlformats.org/officeDocument/2006/customXml" ds:itemID="{D9A168FB-ED37-4D56-A568-F04ECB8373B0}">
  <ds:schemaRefs/>
</ds:datastoreItem>
</file>

<file path=customXml/itemProps10.xml><?xml version="1.0" encoding="utf-8"?>
<ds:datastoreItem xmlns:ds="http://schemas.openxmlformats.org/officeDocument/2006/customXml" ds:itemID="{29C8DCFA-7459-43E3-8122-91441C544CD0}">
  <ds:schemaRefs/>
</ds:datastoreItem>
</file>

<file path=customXml/itemProps11.xml><?xml version="1.0" encoding="utf-8"?>
<ds:datastoreItem xmlns:ds="http://schemas.openxmlformats.org/officeDocument/2006/customXml" ds:itemID="{A43E0C98-8EC1-4556-A8C3-CF22B10462BF}">
  <ds:schemaRefs/>
</ds:datastoreItem>
</file>

<file path=customXml/itemProps12.xml><?xml version="1.0" encoding="utf-8"?>
<ds:datastoreItem xmlns:ds="http://schemas.openxmlformats.org/officeDocument/2006/customXml" ds:itemID="{10BED482-DF71-4689-B115-FC9E5DD81F6A}">
  <ds:schemaRefs/>
</ds:datastoreItem>
</file>

<file path=customXml/itemProps13.xml><?xml version="1.0" encoding="utf-8"?>
<ds:datastoreItem xmlns:ds="http://schemas.openxmlformats.org/officeDocument/2006/customXml" ds:itemID="{EE203FA8-C0C1-433D-B50F-9F4981368655}">
  <ds:schemaRefs/>
</ds:datastoreItem>
</file>

<file path=customXml/itemProps14.xml><?xml version="1.0" encoding="utf-8"?>
<ds:datastoreItem xmlns:ds="http://schemas.openxmlformats.org/officeDocument/2006/customXml" ds:itemID="{17B683B8-27C5-46AE-8C73-59B7BCF444B2}">
  <ds:schemaRefs/>
</ds:datastoreItem>
</file>

<file path=customXml/itemProps15.xml><?xml version="1.0" encoding="utf-8"?>
<ds:datastoreItem xmlns:ds="http://schemas.openxmlformats.org/officeDocument/2006/customXml" ds:itemID="{23D4EC9C-F2B5-4257-B72B-1700D4B4DA1A}">
  <ds:schemaRefs/>
</ds:datastoreItem>
</file>

<file path=customXml/itemProps16.xml><?xml version="1.0" encoding="utf-8"?>
<ds:datastoreItem xmlns:ds="http://schemas.openxmlformats.org/officeDocument/2006/customXml" ds:itemID="{3E7AC510-FFC6-4F7B-979A-8627391474F7}">
  <ds:schemaRefs/>
</ds:datastoreItem>
</file>

<file path=customXml/itemProps17.xml><?xml version="1.0" encoding="utf-8"?>
<ds:datastoreItem xmlns:ds="http://schemas.openxmlformats.org/officeDocument/2006/customXml" ds:itemID="{C82F635F-39B7-4452-A433-2E9D114733C8}">
  <ds:schemaRefs/>
</ds:datastoreItem>
</file>

<file path=customXml/itemProps18.xml><?xml version="1.0" encoding="utf-8"?>
<ds:datastoreItem xmlns:ds="http://schemas.openxmlformats.org/officeDocument/2006/customXml" ds:itemID="{25B6A8C7-75D3-4C2E-9E79-ED0EDF8139EB}">
  <ds:schemaRefs/>
</ds:datastoreItem>
</file>

<file path=customXml/itemProps19.xml><?xml version="1.0" encoding="utf-8"?>
<ds:datastoreItem xmlns:ds="http://schemas.openxmlformats.org/officeDocument/2006/customXml" ds:itemID="{985B1FBD-8154-4F22-BF8F-0CF97A56F6C1}">
  <ds:schemaRefs/>
</ds:datastoreItem>
</file>

<file path=customXml/itemProps20.xml><?xml version="1.0" encoding="utf-8"?>
<ds:datastoreItem xmlns:ds="http://schemas.openxmlformats.org/officeDocument/2006/customXml" ds:itemID="{530C116A-4334-4C38-BA66-7EAD178D9CA0}">
  <ds:schemaRefs/>
</ds:datastoreItem>
</file>

<file path=customXml/itemProps21.xml><?xml version="1.0" encoding="utf-8"?>
<ds:datastoreItem xmlns:ds="http://schemas.openxmlformats.org/officeDocument/2006/customXml" ds:itemID="{DC5FEC80-4601-4D5B-8DB0-2B165628CB6C}">
  <ds:schemaRefs/>
</ds:datastoreItem>
</file>

<file path=customXml/itemProps22.xml><?xml version="1.0" encoding="utf-8"?>
<ds:datastoreItem xmlns:ds="http://schemas.openxmlformats.org/officeDocument/2006/customXml" ds:itemID="{48AA10AE-86CE-40C6-94E1-0E42BBCB4EB3}">
  <ds:schemaRefs/>
</ds:datastoreItem>
</file>

<file path=customXml/itemProps23.xml><?xml version="1.0" encoding="utf-8"?>
<ds:datastoreItem xmlns:ds="http://schemas.openxmlformats.org/officeDocument/2006/customXml" ds:itemID="{3E35BD77-65D1-4E82-8074-7687D050A5F8}">
  <ds:schemaRefs/>
</ds:datastoreItem>
</file>

<file path=customXml/itemProps24.xml><?xml version="1.0" encoding="utf-8"?>
<ds:datastoreItem xmlns:ds="http://schemas.openxmlformats.org/officeDocument/2006/customXml" ds:itemID="{62693D0C-53AE-412F-8745-C3AF75B7B97C}">
  <ds:schemaRefs/>
</ds:datastoreItem>
</file>

<file path=customXml/itemProps25.xml><?xml version="1.0" encoding="utf-8"?>
<ds:datastoreItem xmlns:ds="http://schemas.openxmlformats.org/officeDocument/2006/customXml" ds:itemID="{6B2BFB1C-CE9D-4967-A2F1-7752AA50F943}">
  <ds:schemaRefs/>
</ds:datastoreItem>
</file>

<file path=customXml/itemProps26.xml><?xml version="1.0" encoding="utf-8"?>
<ds:datastoreItem xmlns:ds="http://schemas.openxmlformats.org/officeDocument/2006/customXml" ds:itemID="{C45BDFBE-9910-4C4C-ACE7-4D65554CE35C}">
  <ds:schemaRefs/>
</ds:datastoreItem>
</file>

<file path=customXml/itemProps27.xml><?xml version="1.0" encoding="utf-8"?>
<ds:datastoreItem xmlns:ds="http://schemas.openxmlformats.org/officeDocument/2006/customXml" ds:itemID="{3CBB1958-275A-490C-B27B-719AF7F95F89}">
  <ds:schemaRefs/>
</ds:datastoreItem>
</file>

<file path=customXml/itemProps28.xml><?xml version="1.0" encoding="utf-8"?>
<ds:datastoreItem xmlns:ds="http://schemas.openxmlformats.org/officeDocument/2006/customXml" ds:itemID="{22CFEDDD-008F-4B83-9BBD-37A2D80C4664}">
  <ds:schemaRefs/>
</ds:datastoreItem>
</file>

<file path=customXml/itemProps29.xml><?xml version="1.0" encoding="utf-8"?>
<ds:datastoreItem xmlns:ds="http://schemas.openxmlformats.org/officeDocument/2006/customXml" ds:itemID="{B52B32B7-223D-4B6F-B4FD-C9944A02BF7F}">
  <ds:schemaRefs/>
</ds:datastoreItem>
</file>

<file path=customXml/itemProps30.xml><?xml version="1.0" encoding="utf-8"?>
<ds:datastoreItem xmlns:ds="http://schemas.openxmlformats.org/officeDocument/2006/customXml" ds:itemID="{2B79E0A8-58C7-4AD4-AAEE-E51C7BCBFBBD}">
  <ds:schemaRefs/>
</ds:datastoreItem>
</file>

<file path=customXml/itemProps31.xml><?xml version="1.0" encoding="utf-8"?>
<ds:datastoreItem xmlns:ds="http://schemas.openxmlformats.org/officeDocument/2006/customXml" ds:itemID="{6EA5E132-995D-41DE-89C1-A40D2218C7C1}">
  <ds:schemaRefs/>
</ds:datastoreItem>
</file>

<file path=customXml/itemProps32.xml><?xml version="1.0" encoding="utf-8"?>
<ds:datastoreItem xmlns:ds="http://schemas.openxmlformats.org/officeDocument/2006/customXml" ds:itemID="{D26C8AA1-4E54-4790-8837-7DC33CB6A34B}">
  <ds:schemaRefs/>
</ds:datastoreItem>
</file>

<file path=customXml/itemProps33.xml><?xml version="1.0" encoding="utf-8"?>
<ds:datastoreItem xmlns:ds="http://schemas.openxmlformats.org/officeDocument/2006/customXml" ds:itemID="{83F4C3DA-23C9-40D5-89BD-AF9F3D03E558}">
  <ds:schemaRefs/>
</ds:datastoreItem>
</file>

<file path=customXml/itemProps34.xml><?xml version="1.0" encoding="utf-8"?>
<ds:datastoreItem xmlns:ds="http://schemas.openxmlformats.org/officeDocument/2006/customXml" ds:itemID="{80952673-D925-466A-AEBF-034556970C82}">
  <ds:schemaRefs/>
</ds:datastoreItem>
</file>

<file path=customXml/itemProps35.xml><?xml version="1.0" encoding="utf-8"?>
<ds:datastoreItem xmlns:ds="http://schemas.openxmlformats.org/officeDocument/2006/customXml" ds:itemID="{1C6F5B3D-B158-4445-BE8C-DAF7943B2395}">
  <ds:schemaRefs/>
</ds:datastoreItem>
</file>

<file path=customXml/itemProps36.xml><?xml version="1.0" encoding="utf-8"?>
<ds:datastoreItem xmlns:ds="http://schemas.openxmlformats.org/officeDocument/2006/customXml" ds:itemID="{CD3DD2C8-1AE9-4F38-8C75-0B4DB0BD5A2B}">
  <ds:schemaRefs/>
</ds:datastoreItem>
</file>

<file path=customXml/itemProps37.xml><?xml version="1.0" encoding="utf-8"?>
<ds:datastoreItem xmlns:ds="http://schemas.openxmlformats.org/officeDocument/2006/customXml" ds:itemID="{B7134484-A22D-42E0-AA31-2B9FFEAC8F94}">
  <ds:schemaRefs/>
</ds:datastoreItem>
</file>

<file path=customXml/itemProps38.xml><?xml version="1.0" encoding="utf-8"?>
<ds:datastoreItem xmlns:ds="http://schemas.openxmlformats.org/officeDocument/2006/customXml" ds:itemID="{BA180044-8902-4762-ACDD-223F948DCCE7}">
  <ds:schemaRefs/>
</ds:datastoreItem>
</file>

<file path=customXml/itemProps39.xml><?xml version="1.0" encoding="utf-8"?>
<ds:datastoreItem xmlns:ds="http://schemas.openxmlformats.org/officeDocument/2006/customXml" ds:itemID="{C157D454-F865-4F46-9BBE-FB0A7DC4BE86}">
  <ds:schemaRefs/>
</ds:datastoreItem>
</file>

<file path=customXml/itemProps40.xml><?xml version="1.0" encoding="utf-8"?>
<ds:datastoreItem xmlns:ds="http://schemas.openxmlformats.org/officeDocument/2006/customXml" ds:itemID="{C5A0BDB2-56D4-4EAA-B350-9B3716D4BCC9}">
  <ds:schemaRefs/>
</ds:datastoreItem>
</file>

<file path=customXml/itemProps41.xml><?xml version="1.0" encoding="utf-8"?>
<ds:datastoreItem xmlns:ds="http://schemas.openxmlformats.org/officeDocument/2006/customXml" ds:itemID="{E6FC207C-20BD-4909-928A-1AD0DB40ABA7}">
  <ds:schemaRefs/>
</ds:datastoreItem>
</file>

<file path=customXml/itemProps42.xml><?xml version="1.0" encoding="utf-8"?>
<ds:datastoreItem xmlns:ds="http://schemas.openxmlformats.org/officeDocument/2006/customXml" ds:itemID="{F15D1974-6C34-43CB-BCF4-A8DDE50825E1}">
  <ds:schemaRefs/>
</ds:datastoreItem>
</file>

<file path=customXml/itemProps43.xml><?xml version="1.0" encoding="utf-8"?>
<ds:datastoreItem xmlns:ds="http://schemas.openxmlformats.org/officeDocument/2006/customXml" ds:itemID="{7EE4273F-0966-476F-AD86-77AC6F963162}">
  <ds:schemaRefs/>
</ds:datastoreItem>
</file>

<file path=customXml/itemProps44.xml><?xml version="1.0" encoding="utf-8"?>
<ds:datastoreItem xmlns:ds="http://schemas.openxmlformats.org/officeDocument/2006/customXml" ds:itemID="{00D2D75F-6C75-4AED-A4EC-F5DEEB18EEB7}">
  <ds:schemaRefs/>
</ds:datastoreItem>
</file>

<file path=customXml/itemProps45.xml><?xml version="1.0" encoding="utf-8"?>
<ds:datastoreItem xmlns:ds="http://schemas.openxmlformats.org/officeDocument/2006/customXml" ds:itemID="{6FA0E3F7-0BC5-4CD1-B38C-5964AC4B5E2D}">
  <ds:schemaRefs/>
</ds:datastoreItem>
</file>

<file path=customXml/itemProps46.xml><?xml version="1.0" encoding="utf-8"?>
<ds:datastoreItem xmlns:ds="http://schemas.openxmlformats.org/officeDocument/2006/customXml" ds:itemID="{A2A7008C-8118-4C2E-8F36-5E8A74E2DEB6}">
  <ds:schemaRefs/>
</ds:datastoreItem>
</file>

<file path=customXml/itemProps47.xml><?xml version="1.0" encoding="utf-8"?>
<ds:datastoreItem xmlns:ds="http://schemas.openxmlformats.org/officeDocument/2006/customXml" ds:itemID="{54B35580-981C-4BC2-A1A6-C34F2D89D6B9}">
  <ds:schemaRefs/>
</ds:datastoreItem>
</file>

<file path=customXml/itemProps48.xml><?xml version="1.0" encoding="utf-8"?>
<ds:datastoreItem xmlns:ds="http://schemas.openxmlformats.org/officeDocument/2006/customXml" ds:itemID="{525414B7-7276-4A81-A920-7ED00F73308A}">
  <ds:schemaRefs/>
</ds:datastoreItem>
</file>

<file path=customXml/itemProps49.xml><?xml version="1.0" encoding="utf-8"?>
<ds:datastoreItem xmlns:ds="http://schemas.openxmlformats.org/officeDocument/2006/customXml" ds:itemID="{34E89839-210D-4A72-9A59-E5F107780BDB}">
  <ds:schemaRefs/>
</ds:datastoreItem>
</file>

<file path=customXml/itemProps50.xml><?xml version="1.0" encoding="utf-8"?>
<ds:datastoreItem xmlns:ds="http://schemas.openxmlformats.org/officeDocument/2006/customXml" ds:itemID="{C52A9361-0087-4066-A025-F673950F9753}">
  <ds:schemaRefs/>
</ds:datastoreItem>
</file>

<file path=customXml/itemProps51.xml><?xml version="1.0" encoding="utf-8"?>
<ds:datastoreItem xmlns:ds="http://schemas.openxmlformats.org/officeDocument/2006/customXml" ds:itemID="{50F13B4A-C8AD-46FB-BFB8-696799FE9D35}">
  <ds:schemaRefs/>
</ds:datastoreItem>
</file>

<file path=customXml/itemProps52.xml><?xml version="1.0" encoding="utf-8"?>
<ds:datastoreItem xmlns:ds="http://schemas.openxmlformats.org/officeDocument/2006/customXml" ds:itemID="{6BF1A63C-9CAA-4DE6-8D04-35383221FB51}">
  <ds:schemaRefs/>
</ds:datastoreItem>
</file>

<file path=docProps/app.xml><?xml version="1.0" encoding="utf-8"?>
<Properties xmlns="http://schemas.openxmlformats.org/officeDocument/2006/extended-properties" xmlns:vt="http://schemas.openxmlformats.org/officeDocument/2006/docPropsVTypes">
  <Template>Normal</Template>
  <Pages>40</Pages>
  <Words>2184</Words>
  <Characters>12452</Characters>
  <Lines>103</Lines>
  <Paragraphs>29</Paragraphs>
  <TotalTime>30</TotalTime>
  <ScaleCrop>false</ScaleCrop>
  <LinksUpToDate>false</LinksUpToDate>
  <CharactersWithSpaces>14607</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2023-03-06T02:57:00Z</dcterms:created>
  <dc:creator>lenovo</dc:creator>
  <cp:lastModifiedBy>仅此而已M</cp:lastModifiedBy>
  <dcterms:modified xsi:type="dcterms:W3CDTF">2023-07-24T08:10:32Z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053275BA4CB847158B606FE57A48CE87</vt:lpwstr>
  </property>
</Properties>
</file>