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sz w:val="32"/>
          <w:szCs w:val="32"/>
        </w:rPr>
      </w:pPr>
    </w:p>
    <w:p>
      <w:pPr>
        <w:rPr>
          <w:rFonts w:ascii="黑体" w:hAnsi="黑体" w:eastAsia="黑体"/>
          <w:sz w:val="48"/>
          <w:szCs w:val="48"/>
        </w:rPr>
      </w:pPr>
    </w:p>
    <w:p>
      <w:pPr>
        <w:jc w:val="center"/>
        <w:rPr>
          <w:rFonts w:ascii="黑体" w:hAnsi="黑体" w:eastAsia="黑体"/>
          <w:sz w:val="48"/>
          <w:szCs w:val="48"/>
        </w:rPr>
      </w:pPr>
    </w:p>
    <w:p>
      <w:pPr>
        <w:jc w:val="center"/>
        <w:rPr>
          <w:rFonts w:ascii="黑体" w:hAnsi="黑体" w:eastAsia="黑体"/>
          <w:sz w:val="48"/>
          <w:szCs w:val="48"/>
        </w:rPr>
      </w:pPr>
    </w:p>
    <w:p>
      <w:pPr>
        <w:jc w:val="center"/>
        <w:rPr>
          <w:rFonts w:ascii="黑体" w:hAnsi="黑体" w:eastAsia="黑体"/>
          <w:sz w:val="48"/>
          <w:szCs w:val="48"/>
        </w:rPr>
      </w:pPr>
      <w:r>
        <w:rPr>
          <w:rFonts w:hint="eastAsia" w:ascii="黑体" w:hAnsi="黑体" w:eastAsia="黑体"/>
          <w:sz w:val="48"/>
          <w:szCs w:val="48"/>
          <w:lang w:eastAsia="zh-CN"/>
        </w:rPr>
        <w:t>顺平县人民检察院</w:t>
      </w:r>
      <w:r>
        <w:rPr>
          <w:rFonts w:hint="eastAsia" w:ascii="黑体" w:hAnsi="黑体" w:eastAsia="黑体"/>
          <w:sz w:val="48"/>
          <w:szCs w:val="48"/>
        </w:rPr>
        <w:t>单位</w:t>
      </w:r>
    </w:p>
    <w:p>
      <w:pPr>
        <w:jc w:val="center"/>
        <w:rPr>
          <w:rFonts w:ascii="黑体" w:hAnsi="黑体" w:eastAsia="黑体"/>
          <w:sz w:val="48"/>
          <w:szCs w:val="48"/>
        </w:rPr>
      </w:pPr>
      <w:r>
        <w:rPr>
          <w:rFonts w:hint="eastAsia" w:ascii="黑体" w:hAnsi="黑体" w:eastAsia="黑体"/>
          <w:sz w:val="48"/>
          <w:szCs w:val="48"/>
        </w:rPr>
        <w:t>2019年度部门决算公开文本</w:t>
      </w: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仿宋" w:hAnsi="仿宋" w:eastAsia="仿宋"/>
          <w:sz w:val="32"/>
          <w:szCs w:val="32"/>
        </w:rPr>
      </w:pPr>
    </w:p>
    <w:p>
      <w:pPr>
        <w:jc w:val="center"/>
        <w:rPr>
          <w:rFonts w:ascii="黑体" w:hAnsi="黑体" w:eastAsia="黑体"/>
          <w:sz w:val="36"/>
          <w:szCs w:val="36"/>
        </w:rPr>
      </w:pPr>
      <w:r>
        <w:rPr>
          <w:rFonts w:hint="eastAsia" w:ascii="黑体" w:hAnsi="黑体" w:eastAsia="黑体"/>
          <w:sz w:val="36"/>
          <w:szCs w:val="36"/>
        </w:rPr>
        <w:t>二○二○年九月</w:t>
      </w: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center"/>
        <w:rPr>
          <w:rFonts w:ascii="黑体" w:hAnsi="黑体" w:eastAsia="黑体"/>
          <w:sz w:val="36"/>
          <w:szCs w:val="36"/>
        </w:rPr>
      </w:pPr>
    </w:p>
    <w:p>
      <w:pPr>
        <w:jc w:val="both"/>
        <w:rPr>
          <w:rFonts w:ascii="仿宋" w:hAnsi="仿宋" w:eastAsia="仿宋"/>
          <w:b/>
          <w:sz w:val="44"/>
          <w:szCs w:val="44"/>
        </w:rPr>
      </w:pPr>
    </w:p>
    <w:p>
      <w:pPr>
        <w:jc w:val="center"/>
        <w:rPr>
          <w:rFonts w:ascii="仿宋" w:hAnsi="仿宋" w:eastAsia="仿宋"/>
          <w:b/>
          <w:sz w:val="44"/>
          <w:szCs w:val="44"/>
        </w:rPr>
      </w:pPr>
      <w:r>
        <w:rPr>
          <w:rFonts w:hint="eastAsia" w:ascii="仿宋" w:hAnsi="仿宋" w:eastAsia="仿宋"/>
          <w:b/>
          <w:sz w:val="44"/>
          <w:szCs w:val="44"/>
        </w:rPr>
        <w:t>目    录</w:t>
      </w: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b/>
          <w:sz w:val="32"/>
          <w:szCs w:val="32"/>
        </w:rPr>
      </w:pPr>
      <w:r>
        <w:rPr>
          <w:rFonts w:hint="eastAsia" w:ascii="仿宋" w:hAnsi="仿宋" w:eastAsia="仿宋"/>
          <w:b/>
          <w:sz w:val="32"/>
          <w:szCs w:val="32"/>
        </w:rPr>
        <w:t>第一部分   部门概况</w:t>
      </w:r>
    </w:p>
    <w:p>
      <w:pPr>
        <w:ind w:firstLine="640" w:firstLineChars="200"/>
        <w:jc w:val="left"/>
        <w:rPr>
          <w:rFonts w:ascii="仿宋" w:hAnsi="仿宋" w:eastAsia="仿宋"/>
          <w:sz w:val="32"/>
          <w:szCs w:val="32"/>
        </w:rPr>
      </w:pPr>
      <w:r>
        <w:rPr>
          <w:rFonts w:hint="eastAsia" w:ascii="仿宋" w:hAnsi="仿宋" w:eastAsia="仿宋"/>
          <w:sz w:val="32"/>
          <w:szCs w:val="32"/>
        </w:rPr>
        <w:t>一、部门职责</w:t>
      </w:r>
    </w:p>
    <w:p>
      <w:pPr>
        <w:ind w:firstLine="640" w:firstLineChars="200"/>
        <w:jc w:val="left"/>
        <w:rPr>
          <w:rFonts w:ascii="仿宋" w:hAnsi="仿宋" w:eastAsia="仿宋"/>
          <w:sz w:val="32"/>
          <w:szCs w:val="32"/>
        </w:rPr>
      </w:pPr>
      <w:r>
        <w:rPr>
          <w:rFonts w:hint="eastAsia" w:ascii="仿宋" w:hAnsi="仿宋" w:eastAsia="仿宋"/>
          <w:sz w:val="32"/>
          <w:szCs w:val="32"/>
        </w:rPr>
        <w:t>二、机构设置</w:t>
      </w:r>
    </w:p>
    <w:p>
      <w:pPr>
        <w:ind w:firstLine="640" w:firstLineChars="200"/>
        <w:jc w:val="left"/>
        <w:rPr>
          <w:rFonts w:ascii="仿宋" w:hAnsi="仿宋" w:eastAsia="仿宋"/>
          <w:sz w:val="32"/>
          <w:szCs w:val="32"/>
        </w:rPr>
      </w:pPr>
      <w:r>
        <w:rPr>
          <w:rFonts w:hint="eastAsia" w:ascii="仿宋" w:hAnsi="仿宋" w:eastAsia="仿宋"/>
          <w:sz w:val="32"/>
          <w:szCs w:val="32"/>
        </w:rPr>
        <w:t>三、人员情况</w:t>
      </w:r>
    </w:p>
    <w:p>
      <w:pPr>
        <w:jc w:val="left"/>
        <w:rPr>
          <w:rFonts w:ascii="仿宋" w:hAnsi="仿宋" w:eastAsia="仿宋"/>
          <w:b/>
          <w:sz w:val="32"/>
          <w:szCs w:val="32"/>
        </w:rPr>
      </w:pPr>
      <w:r>
        <w:rPr>
          <w:rFonts w:hint="eastAsia" w:ascii="仿宋" w:hAnsi="仿宋" w:eastAsia="仿宋"/>
          <w:b/>
          <w:sz w:val="32"/>
          <w:szCs w:val="32"/>
        </w:rPr>
        <w:t>第二部分   2019年部门决算情况说明</w:t>
      </w:r>
    </w:p>
    <w:p>
      <w:pPr>
        <w:ind w:firstLine="640" w:firstLineChars="200"/>
        <w:jc w:val="left"/>
        <w:rPr>
          <w:rFonts w:ascii="仿宋" w:hAnsi="仿宋" w:eastAsia="仿宋"/>
          <w:sz w:val="32"/>
          <w:szCs w:val="32"/>
        </w:rPr>
      </w:pPr>
      <w:r>
        <w:rPr>
          <w:rFonts w:hint="eastAsia" w:ascii="仿宋" w:hAnsi="仿宋" w:eastAsia="仿宋"/>
          <w:sz w:val="32"/>
          <w:szCs w:val="32"/>
        </w:rPr>
        <w:t>一、收入支出决算总体情况说明</w:t>
      </w:r>
    </w:p>
    <w:p>
      <w:pPr>
        <w:ind w:firstLine="640" w:firstLineChars="200"/>
        <w:jc w:val="left"/>
        <w:rPr>
          <w:rFonts w:ascii="仿宋" w:hAnsi="仿宋" w:eastAsia="仿宋"/>
          <w:sz w:val="32"/>
          <w:szCs w:val="32"/>
        </w:rPr>
      </w:pPr>
      <w:r>
        <w:rPr>
          <w:rFonts w:hint="eastAsia" w:ascii="仿宋" w:hAnsi="仿宋" w:eastAsia="仿宋"/>
          <w:sz w:val="32"/>
          <w:szCs w:val="32"/>
        </w:rPr>
        <w:t>二、收入决算情况说明</w:t>
      </w:r>
    </w:p>
    <w:p>
      <w:pPr>
        <w:ind w:firstLine="640" w:firstLineChars="200"/>
        <w:jc w:val="left"/>
        <w:rPr>
          <w:rFonts w:ascii="仿宋" w:hAnsi="仿宋" w:eastAsia="仿宋"/>
          <w:sz w:val="32"/>
          <w:szCs w:val="32"/>
        </w:rPr>
      </w:pPr>
      <w:r>
        <w:rPr>
          <w:rFonts w:hint="eastAsia" w:ascii="仿宋" w:hAnsi="仿宋" w:eastAsia="仿宋"/>
          <w:sz w:val="32"/>
          <w:szCs w:val="32"/>
        </w:rPr>
        <w:t>三、支出决算情况说明</w:t>
      </w:r>
    </w:p>
    <w:p>
      <w:pPr>
        <w:ind w:firstLine="640" w:firstLineChars="200"/>
        <w:jc w:val="left"/>
        <w:rPr>
          <w:rFonts w:ascii="仿宋" w:hAnsi="仿宋" w:eastAsia="仿宋"/>
          <w:sz w:val="32"/>
          <w:szCs w:val="32"/>
        </w:rPr>
      </w:pPr>
      <w:r>
        <w:rPr>
          <w:rFonts w:hint="eastAsia" w:ascii="仿宋" w:hAnsi="仿宋" w:eastAsia="仿宋"/>
          <w:sz w:val="32"/>
          <w:szCs w:val="32"/>
        </w:rPr>
        <w:t>四、财政拨款收入支出决算总体情况说明</w:t>
      </w:r>
    </w:p>
    <w:p>
      <w:pPr>
        <w:ind w:firstLine="640" w:firstLineChars="200"/>
        <w:jc w:val="left"/>
        <w:rPr>
          <w:rFonts w:ascii="仿宋" w:hAnsi="仿宋" w:eastAsia="仿宋"/>
          <w:sz w:val="32"/>
          <w:szCs w:val="32"/>
        </w:rPr>
      </w:pPr>
      <w:r>
        <w:rPr>
          <w:rFonts w:hint="eastAsia" w:ascii="仿宋" w:hAnsi="仿宋" w:eastAsia="仿宋"/>
          <w:sz w:val="32"/>
          <w:szCs w:val="32"/>
        </w:rPr>
        <w:t>五、一般公共预算“三公”经费支出决算情况说明</w:t>
      </w:r>
    </w:p>
    <w:p>
      <w:pPr>
        <w:ind w:firstLine="640" w:firstLineChars="200"/>
        <w:jc w:val="left"/>
        <w:rPr>
          <w:rFonts w:ascii="仿宋" w:hAnsi="仿宋" w:eastAsia="仿宋"/>
          <w:sz w:val="32"/>
          <w:szCs w:val="32"/>
        </w:rPr>
      </w:pPr>
      <w:r>
        <w:rPr>
          <w:rFonts w:hint="eastAsia" w:ascii="仿宋" w:hAnsi="仿宋" w:eastAsia="仿宋"/>
          <w:sz w:val="32"/>
          <w:szCs w:val="32"/>
        </w:rPr>
        <w:t>六、预算绩效情况说明</w:t>
      </w:r>
    </w:p>
    <w:p>
      <w:pPr>
        <w:ind w:firstLine="640" w:firstLineChars="200"/>
        <w:jc w:val="left"/>
        <w:rPr>
          <w:rFonts w:ascii="仿宋" w:hAnsi="仿宋" w:eastAsia="仿宋"/>
          <w:sz w:val="32"/>
          <w:szCs w:val="32"/>
        </w:rPr>
      </w:pPr>
      <w:r>
        <w:rPr>
          <w:rFonts w:hint="eastAsia" w:ascii="仿宋" w:hAnsi="仿宋" w:eastAsia="仿宋"/>
          <w:sz w:val="32"/>
          <w:szCs w:val="32"/>
        </w:rPr>
        <w:t>七、其他重要事项的说明</w:t>
      </w:r>
    </w:p>
    <w:p>
      <w:pPr>
        <w:jc w:val="left"/>
        <w:rPr>
          <w:rFonts w:ascii="仿宋" w:hAnsi="仿宋" w:eastAsia="仿宋"/>
          <w:b/>
          <w:sz w:val="32"/>
          <w:szCs w:val="32"/>
        </w:rPr>
      </w:pPr>
      <w:r>
        <w:rPr>
          <w:rFonts w:hint="eastAsia" w:ascii="仿宋" w:hAnsi="仿宋" w:eastAsia="仿宋"/>
          <w:b/>
          <w:sz w:val="32"/>
          <w:szCs w:val="32"/>
        </w:rPr>
        <w:t>第三部分  名词解释</w:t>
      </w:r>
    </w:p>
    <w:p>
      <w:pPr>
        <w:jc w:val="left"/>
        <w:rPr>
          <w:rFonts w:ascii="仿宋" w:hAnsi="仿宋" w:eastAsia="仿宋"/>
          <w:b/>
          <w:sz w:val="32"/>
          <w:szCs w:val="32"/>
        </w:rPr>
      </w:pPr>
      <w:r>
        <w:rPr>
          <w:rFonts w:hint="eastAsia" w:ascii="仿宋" w:hAnsi="仿宋" w:eastAsia="仿宋"/>
          <w:b/>
          <w:sz w:val="32"/>
          <w:szCs w:val="32"/>
        </w:rPr>
        <w:t>第四部分  2019年度部门决算报表</w:t>
      </w:r>
    </w:p>
    <w:p>
      <w:pPr>
        <w:jc w:val="left"/>
        <w:rPr>
          <w:rFonts w:ascii="仿宋" w:hAnsi="仿宋" w:eastAsia="仿宋"/>
          <w:b/>
          <w:sz w:val="32"/>
          <w:szCs w:val="32"/>
        </w:rPr>
      </w:pPr>
    </w:p>
    <w:p>
      <w:pPr>
        <w:jc w:val="left"/>
        <w:rPr>
          <w:rFonts w:ascii="仿宋" w:hAnsi="仿宋" w:eastAsia="仿宋"/>
          <w:b/>
          <w:sz w:val="32"/>
          <w:szCs w:val="32"/>
        </w:rPr>
      </w:pPr>
    </w:p>
    <w:p>
      <w:pPr>
        <w:jc w:val="left"/>
        <w:rPr>
          <w:rFonts w:ascii="仿宋" w:hAnsi="仿宋" w:eastAsia="仿宋"/>
          <w:b/>
          <w:sz w:val="32"/>
          <w:szCs w:val="32"/>
        </w:rPr>
      </w:pPr>
    </w:p>
    <w:p>
      <w:pPr>
        <w:jc w:val="left"/>
        <w:rPr>
          <w:rFonts w:ascii="仿宋" w:hAnsi="仿宋" w:eastAsia="仿宋"/>
          <w:b/>
          <w:sz w:val="32"/>
          <w:szCs w:val="32"/>
        </w:rPr>
      </w:pPr>
    </w:p>
    <w:p>
      <w:pPr>
        <w:jc w:val="center"/>
        <w:rPr>
          <w:rFonts w:ascii="仿宋" w:hAnsi="仿宋" w:eastAsia="仿宋"/>
          <w:b/>
          <w:sz w:val="32"/>
          <w:szCs w:val="32"/>
        </w:rPr>
      </w:pPr>
      <w:r>
        <w:rPr>
          <w:rFonts w:hint="eastAsia" w:ascii="仿宋" w:hAnsi="仿宋" w:eastAsia="仿宋"/>
          <w:b/>
          <w:sz w:val="32"/>
          <w:szCs w:val="32"/>
        </w:rPr>
        <w:t>第一部分    部门概况</w:t>
      </w:r>
    </w:p>
    <w:p>
      <w:pPr>
        <w:jc w:val="left"/>
        <w:rPr>
          <w:rFonts w:hint="eastAsia" w:ascii="仿宋" w:hAnsi="仿宋" w:eastAsia="仿宋"/>
          <w:sz w:val="32"/>
          <w:szCs w:val="32"/>
        </w:rPr>
      </w:pPr>
      <w:r>
        <w:rPr>
          <w:rFonts w:hint="eastAsia" w:ascii="仿宋" w:hAnsi="仿宋" w:eastAsia="仿宋"/>
          <w:sz w:val="32"/>
          <w:szCs w:val="32"/>
        </w:rPr>
        <w:t>一、部门职责</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顺平县人民检察院依法行使法律监督职能，对县人民代表大会及其常务委员会负责并报告工作。其主要职责是：</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（一） 依法向县人民代表大会和县人民代表大会常务委员会汇报工作。</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（二） 依法对贪污贿赂犯罪、国家工作人员渎职犯罪和国家机关工作人员利用职权实施的非法拘禁、报复陷害、非法搜查等侵犯公民人身权利与侵犯公民民主权利的犯罪以及国家机关工作人员利用职权实施的其他重大犯罪案件进行侦查。</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（三） 对全县重大刑事犯罪案件依法审查批捕、提起公诉，依法派员出席法庭，履行法律监督职责，掌握社会治安动态，参加社会治安综合治理。</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（四） 依法对民事诉讼，刑事审判和行政诉讼实行法律监督。</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（五） 对本级人民法院已经发生法律效力、确有错误的判决和裁定，依法向市人民检察院提请抗诉。</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（六） 依法对监管机关的活动是否合法进行监督。</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（七） 对本院在先例检察权中做出的决定进行审查，纠正错误的决定。</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（八） 受理单位和个人的报案、控告、申诉和举报、犯罪嫌疑人的自首，以及刑事赔偿工作。</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（九） 对国家机关工作人员职务犯罪预防工作进行研究并提出职务犯罪的预防对策，负责职务犯罪预防工作的法制宣传。</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（十） 对检察工作中具体应用法律的问题进行研究，制定开展检察工作的规定、办法和实施细则。</w:t>
      </w:r>
    </w:p>
    <w:p>
      <w:pPr>
        <w:widowControl/>
        <w:spacing w:line="323" w:lineRule="atLeast"/>
        <w:ind w:firstLine="570"/>
        <w:jc w:val="left"/>
        <w:rPr>
          <w:rFonts w:hint="eastAsia" w:ascii="宋体" w:hAnsi="宋体" w:cs="宋体"/>
          <w:kern w:val="0"/>
          <w:sz w:val="30"/>
          <w:szCs w:val="30"/>
        </w:rPr>
      </w:pPr>
      <w:r>
        <w:rPr>
          <w:rFonts w:hint="eastAsia" w:ascii="宋体" w:hAnsi="宋体" w:cs="宋体"/>
          <w:kern w:val="0"/>
          <w:sz w:val="30"/>
          <w:szCs w:val="30"/>
        </w:rPr>
        <w:t>（十一）负责本院的队伍建设和思想政治工作，依法管理检察官和其他检察人员。</w:t>
      </w:r>
    </w:p>
    <w:p>
      <w:pPr>
        <w:widowControl/>
        <w:spacing w:line="323" w:lineRule="atLeast"/>
        <w:ind w:firstLine="600"/>
        <w:jc w:val="left"/>
        <w:rPr>
          <w:rFonts w:hint="eastAsia" w:ascii="仿宋" w:hAnsi="仿宋" w:eastAsia="仿宋"/>
          <w:sz w:val="32"/>
          <w:szCs w:val="32"/>
        </w:rPr>
      </w:pPr>
      <w:r>
        <w:rPr>
          <w:rFonts w:hint="eastAsia" w:ascii="宋体" w:hAnsi="宋体" w:cs="宋体"/>
          <w:kern w:val="0"/>
          <w:sz w:val="30"/>
          <w:szCs w:val="30"/>
        </w:rPr>
        <w:t>（十二）协同上级主管部门管理、考核本院检察长，协同县党委管理和考核本院副检察长，提请县人民代表大会常委会决定任免副检察长、检察委员会委员、检察员。（十三）协同县主管部门管理本机关的机构设置、人员编制工作。（十四）组织全院检察人员的教育培训工作。（十五）负责其他应当由县人民检察院承办的事项。</w:t>
      </w:r>
    </w:p>
    <w:p>
      <w:pPr>
        <w:jc w:val="left"/>
        <w:rPr>
          <w:rFonts w:ascii="仿宋" w:hAnsi="仿宋" w:eastAsia="仿宋"/>
          <w:sz w:val="32"/>
          <w:szCs w:val="32"/>
        </w:rPr>
      </w:pPr>
      <w:r>
        <w:rPr>
          <w:rFonts w:hint="eastAsia" w:ascii="仿宋" w:hAnsi="仿宋" w:eastAsia="仿宋"/>
          <w:sz w:val="32"/>
          <w:szCs w:val="32"/>
        </w:rPr>
        <w:t>二、机构设置</w:t>
      </w:r>
    </w:p>
    <w:p>
      <w:pPr>
        <w:ind w:firstLine="640" w:firstLineChars="200"/>
        <w:jc w:val="left"/>
        <w:rPr>
          <w:rFonts w:ascii="仿宋" w:hAnsi="仿宋" w:eastAsia="仿宋"/>
          <w:sz w:val="32"/>
          <w:szCs w:val="32"/>
        </w:rPr>
      </w:pPr>
      <w:r>
        <w:rPr>
          <w:rFonts w:hint="eastAsia" w:ascii="仿宋" w:hAnsi="仿宋" w:eastAsia="仿宋"/>
          <w:sz w:val="32"/>
          <w:szCs w:val="32"/>
        </w:rPr>
        <w:t>从决算编报单位构成看，纳入2019 年度本部门决算汇编范围的独立核算单位（以下简称“单位”）共</w:t>
      </w:r>
      <w:r>
        <w:rPr>
          <w:rFonts w:hint="eastAsia" w:ascii="仿宋" w:hAnsi="仿宋" w:eastAsia="仿宋"/>
          <w:sz w:val="32"/>
          <w:szCs w:val="32"/>
          <w:lang w:val="en-US" w:eastAsia="zh-CN"/>
        </w:rPr>
        <w:t>1</w:t>
      </w:r>
      <w:r>
        <w:rPr>
          <w:rFonts w:hint="eastAsia" w:ascii="仿宋" w:hAnsi="仿宋" w:eastAsia="仿宋"/>
          <w:sz w:val="32"/>
          <w:szCs w:val="32"/>
        </w:rPr>
        <w:t>个，具体情况如下：</w:t>
      </w:r>
    </w:p>
    <w:tbl>
      <w:tblPr>
        <w:tblStyle w:val="7"/>
        <w:tblpPr w:leftFromText="180" w:rightFromText="180" w:vertAnchor="text" w:horzAnchor="page" w:tblpXSpec="center" w:tblpY="10"/>
        <w:tblOverlap w:val="never"/>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019" w:type="dxa"/>
            <w:vAlign w:val="center"/>
          </w:tcPr>
          <w:p>
            <w:pPr>
              <w:rPr>
                <w:b/>
                <w:bCs/>
              </w:rPr>
            </w:pPr>
            <w:r>
              <w:rPr>
                <w:rFonts w:hint="eastAsia"/>
                <w:b/>
                <w:bCs/>
              </w:rPr>
              <w:t>序号</w:t>
            </w:r>
          </w:p>
        </w:tc>
        <w:tc>
          <w:tcPr>
            <w:tcW w:w="3485" w:type="dxa"/>
            <w:vAlign w:val="center"/>
          </w:tcPr>
          <w:p>
            <w:pPr>
              <w:rPr>
                <w:b/>
                <w:bCs/>
              </w:rPr>
            </w:pPr>
            <w:r>
              <w:rPr>
                <w:rFonts w:hint="eastAsia"/>
                <w:b/>
                <w:bCs/>
              </w:rPr>
              <w:t>单位名称</w:t>
            </w:r>
          </w:p>
        </w:tc>
        <w:tc>
          <w:tcPr>
            <w:tcW w:w="2445" w:type="dxa"/>
            <w:vAlign w:val="center"/>
          </w:tcPr>
          <w:p>
            <w:pPr>
              <w:rPr>
                <w:b/>
                <w:bCs/>
              </w:rPr>
            </w:pPr>
            <w:r>
              <w:rPr>
                <w:rFonts w:hint="eastAsia"/>
                <w:b/>
                <w:bCs/>
              </w:rPr>
              <w:t>单位基本性质</w:t>
            </w:r>
          </w:p>
        </w:tc>
        <w:tc>
          <w:tcPr>
            <w:tcW w:w="2665" w:type="dxa"/>
            <w:vAlign w:val="center"/>
          </w:tcPr>
          <w:p>
            <w:pPr>
              <w:rPr>
                <w:b/>
                <w:bCs/>
              </w:rPr>
            </w:pPr>
            <w:r>
              <w:rPr>
                <w:rFonts w:hint="eastAsia"/>
                <w:b/>
                <w:bCs/>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19" w:type="dxa"/>
          </w:tcPr>
          <w:p>
            <w:r>
              <w:rPr>
                <w:rFonts w:hint="eastAsia"/>
              </w:rPr>
              <w:t>1</w:t>
            </w:r>
          </w:p>
        </w:tc>
        <w:tc>
          <w:tcPr>
            <w:tcW w:w="3485" w:type="dxa"/>
          </w:tcPr>
          <w:p>
            <w:pPr>
              <w:rPr>
                <w:rFonts w:hint="eastAsia" w:eastAsiaTheme="minorEastAsia"/>
                <w:lang w:eastAsia="zh-CN"/>
              </w:rPr>
            </w:pPr>
            <w:r>
              <w:rPr>
                <w:rFonts w:hint="eastAsia"/>
                <w:lang w:eastAsia="zh-CN"/>
              </w:rPr>
              <w:t>顺平县人民检察院（本级）</w:t>
            </w:r>
          </w:p>
        </w:tc>
        <w:tc>
          <w:tcPr>
            <w:tcW w:w="2445" w:type="dxa"/>
          </w:tcPr>
          <w:p>
            <w:pPr>
              <w:rPr>
                <w:rFonts w:hint="eastAsia" w:eastAsiaTheme="minorEastAsia"/>
                <w:lang w:eastAsia="zh-CN"/>
              </w:rPr>
            </w:pPr>
            <w:r>
              <w:rPr>
                <w:rFonts w:hint="eastAsia"/>
                <w:lang w:eastAsia="zh-CN"/>
              </w:rPr>
              <w:t>行政单位</w:t>
            </w:r>
          </w:p>
        </w:tc>
        <w:tc>
          <w:tcPr>
            <w:tcW w:w="2665" w:type="dxa"/>
          </w:tcPr>
          <w:p>
            <w:pPr>
              <w:rPr>
                <w:rFonts w:hint="eastAsia" w:eastAsiaTheme="minorEastAsia"/>
                <w:lang w:eastAsia="zh-CN"/>
              </w:rPr>
            </w:pPr>
            <w:r>
              <w:rPr>
                <w:rFonts w:hint="eastAsia"/>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19" w:type="dxa"/>
          </w:tcPr>
          <w:p>
            <w:r>
              <w:rPr>
                <w:rFonts w:hint="eastAsia"/>
              </w:rPr>
              <w:t>2</w:t>
            </w:r>
          </w:p>
        </w:tc>
        <w:tc>
          <w:tcPr>
            <w:tcW w:w="3485" w:type="dxa"/>
          </w:tcPr>
          <w:p/>
        </w:tc>
        <w:tc>
          <w:tcPr>
            <w:tcW w:w="2445" w:type="dxa"/>
          </w:tcPr>
          <w:p/>
        </w:tc>
        <w:tc>
          <w:tcPr>
            <w:tcW w:w="266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19" w:type="dxa"/>
          </w:tcPr>
          <w:p>
            <w:r>
              <w:rPr>
                <w:rFonts w:hint="eastAsia"/>
              </w:rPr>
              <w:t>3</w:t>
            </w:r>
          </w:p>
        </w:tc>
        <w:tc>
          <w:tcPr>
            <w:tcW w:w="3485" w:type="dxa"/>
          </w:tcPr>
          <w:p/>
        </w:tc>
        <w:tc>
          <w:tcPr>
            <w:tcW w:w="2445" w:type="dxa"/>
          </w:tcPr>
          <w:p/>
        </w:tc>
        <w:tc>
          <w:tcPr>
            <w:tcW w:w="266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19" w:type="dxa"/>
            <w:tcBorders>
              <w:bottom w:val="single" w:color="auto" w:sz="4" w:space="0"/>
            </w:tcBorders>
          </w:tcPr>
          <w:p>
            <w:r>
              <w:rPr>
                <w:rFonts w:hint="eastAsia"/>
              </w:rPr>
              <w:t>……</w:t>
            </w:r>
          </w:p>
        </w:tc>
        <w:tc>
          <w:tcPr>
            <w:tcW w:w="3485" w:type="dxa"/>
            <w:tcBorders>
              <w:bottom w:val="single" w:color="auto" w:sz="4" w:space="0"/>
            </w:tcBorders>
          </w:tcPr>
          <w:p>
            <w:r>
              <w:rPr>
                <w:rFonts w:hint="eastAsia"/>
              </w:rPr>
              <w:t>……………</w:t>
            </w:r>
          </w:p>
        </w:tc>
        <w:tc>
          <w:tcPr>
            <w:tcW w:w="2445" w:type="dxa"/>
            <w:tcBorders>
              <w:bottom w:val="single" w:color="auto" w:sz="4" w:space="0"/>
            </w:tcBorders>
          </w:tcPr>
          <w:p/>
        </w:tc>
        <w:tc>
          <w:tcPr>
            <w:tcW w:w="2665" w:type="dxa"/>
            <w:tcBorders>
              <w:bottom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614" w:type="dxa"/>
            <w:gridSpan w:val="4"/>
            <w:tcBorders>
              <w:top w:val="single" w:color="auto" w:sz="4" w:space="0"/>
              <w:left w:val="nil"/>
              <w:bottom w:val="nil"/>
              <w:right w:val="nil"/>
            </w:tcBorders>
          </w:tcPr>
          <w:p>
            <w:pPr>
              <w:numPr>
                <w:ilvl w:val="0"/>
                <w:numId w:val="0"/>
              </w:numPr>
              <w:rPr>
                <w:rFonts w:hint="eastAsia"/>
                <w:sz w:val="32"/>
                <w:szCs w:val="32"/>
              </w:rPr>
            </w:pPr>
          </w:p>
          <w:p>
            <w:pPr>
              <w:numPr>
                <w:ilvl w:val="0"/>
                <w:numId w:val="0"/>
              </w:numPr>
              <w:rPr>
                <w:rFonts w:hint="eastAsia"/>
                <w:sz w:val="32"/>
                <w:szCs w:val="32"/>
              </w:rPr>
            </w:pPr>
            <w:r>
              <w:rPr>
                <w:rFonts w:hint="eastAsia"/>
                <w:sz w:val="32"/>
                <w:szCs w:val="32"/>
                <w:lang w:eastAsia="zh-CN"/>
              </w:rPr>
              <w:t>三、</w:t>
            </w:r>
            <w:r>
              <w:rPr>
                <w:rFonts w:hint="eastAsia"/>
                <w:sz w:val="32"/>
                <w:szCs w:val="32"/>
              </w:rPr>
              <w:t>人员情况：</w:t>
            </w:r>
          </w:p>
          <w:p>
            <w:pPr>
              <w:numPr>
                <w:ilvl w:val="0"/>
                <w:numId w:val="0"/>
              </w:numPr>
              <w:rPr>
                <w:rFonts w:hint="default" w:eastAsiaTheme="minorEastAsia"/>
                <w:sz w:val="32"/>
                <w:szCs w:val="32"/>
                <w:lang w:val="en-US" w:eastAsia="zh-CN"/>
              </w:rPr>
            </w:pPr>
            <w:r>
              <w:rPr>
                <w:rFonts w:hint="eastAsia"/>
                <w:sz w:val="32"/>
                <w:szCs w:val="32"/>
                <w:lang w:eastAsia="zh-CN"/>
              </w:rPr>
              <w:t>我单位实有编制数</w:t>
            </w:r>
            <w:r>
              <w:rPr>
                <w:rFonts w:hint="eastAsia"/>
                <w:sz w:val="32"/>
                <w:szCs w:val="32"/>
                <w:lang w:val="en-US" w:eastAsia="zh-CN"/>
              </w:rPr>
              <w:t>33个。</w:t>
            </w:r>
          </w:p>
        </w:tc>
      </w:tr>
    </w:tbl>
    <w:p>
      <w:pPr>
        <w:jc w:val="left"/>
        <w:rPr>
          <w:rFonts w:ascii="仿宋" w:hAnsi="仿宋" w:eastAsia="仿宋"/>
          <w:sz w:val="32"/>
          <w:szCs w:val="32"/>
        </w:rPr>
      </w:pPr>
    </w:p>
    <w:p>
      <w:pPr>
        <w:jc w:val="left"/>
        <w:rPr>
          <w:rFonts w:ascii="仿宋" w:hAnsi="仿宋" w:eastAsia="仿宋"/>
          <w:sz w:val="32"/>
          <w:szCs w:val="32"/>
        </w:rPr>
      </w:pPr>
    </w:p>
    <w:p>
      <w:pPr>
        <w:jc w:val="center"/>
        <w:rPr>
          <w:rFonts w:ascii="仿宋" w:hAnsi="仿宋" w:eastAsia="仿宋"/>
          <w:b/>
          <w:sz w:val="32"/>
          <w:szCs w:val="32"/>
        </w:rPr>
      </w:pPr>
      <w:r>
        <w:rPr>
          <w:rFonts w:hint="eastAsia" w:ascii="仿宋" w:hAnsi="仿宋" w:eastAsia="仿宋"/>
          <w:b/>
          <w:sz w:val="32"/>
          <w:szCs w:val="32"/>
        </w:rPr>
        <w:t>第二部分    2019年部门决算情况说明</w:t>
      </w:r>
    </w:p>
    <w:p>
      <w:pPr>
        <w:ind w:firstLine="627" w:firstLineChars="196"/>
        <w:jc w:val="left"/>
        <w:rPr>
          <w:rFonts w:ascii="仿宋" w:hAnsi="仿宋" w:eastAsia="仿宋"/>
          <w:b/>
          <w:sz w:val="32"/>
          <w:szCs w:val="32"/>
        </w:rPr>
      </w:pPr>
      <w:r>
        <w:rPr>
          <w:rFonts w:hint="eastAsia" w:ascii="仿宋" w:hAnsi="仿宋" w:eastAsia="仿宋" w:cs="Times New Roman"/>
          <w:sz w:val="32"/>
          <w:szCs w:val="32"/>
        </w:rPr>
        <w:t>一、收入</w:t>
      </w:r>
      <w:r>
        <w:rPr>
          <w:rFonts w:hint="eastAsia" w:ascii="仿宋" w:hAnsi="仿宋" w:eastAsia="仿宋" w:cs="黑体"/>
          <w:kern w:val="0"/>
          <w:sz w:val="32"/>
          <w:szCs w:val="32"/>
        </w:rPr>
        <w:t>支出</w:t>
      </w:r>
      <w:r>
        <w:rPr>
          <w:rFonts w:hint="eastAsia" w:ascii="仿宋" w:hAnsi="仿宋" w:eastAsia="仿宋" w:cs="Times New Roman"/>
          <w:sz w:val="32"/>
          <w:szCs w:val="32"/>
        </w:rPr>
        <w:t>决算总体情况说明</w:t>
      </w:r>
    </w:p>
    <w:p>
      <w:pPr>
        <w:snapToGrid w:val="0"/>
        <w:spacing w:line="360" w:lineRule="auto"/>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本部门201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w:t>
      </w:r>
      <w:r>
        <w:rPr>
          <w:rFonts w:hint="eastAsia" w:ascii="仿宋_GB2312" w:eastAsia="仿宋_GB2312" w:cs="DengXian-Regular"/>
          <w:sz w:val="32"/>
          <w:szCs w:val="32"/>
          <w:lang w:eastAsia="zh-CN"/>
        </w:rPr>
        <w:t>收入</w:t>
      </w:r>
      <w:r>
        <w:rPr>
          <w:rFonts w:hint="eastAsia" w:ascii="仿宋_GB2312" w:eastAsia="仿宋_GB2312" w:cs="DengXian-Regular"/>
          <w:sz w:val="32"/>
          <w:szCs w:val="32"/>
        </w:rPr>
        <w:t>总计（含结转和结余）</w:t>
      </w:r>
      <w:r>
        <w:rPr>
          <w:rFonts w:hint="eastAsia" w:ascii="仿宋_GB2312" w:eastAsia="仿宋_GB2312" w:cs="DengXian-Regular"/>
          <w:sz w:val="32"/>
          <w:szCs w:val="32"/>
          <w:lang w:val="en-US" w:eastAsia="zh-CN"/>
        </w:rPr>
        <w:t>793.62</w:t>
      </w:r>
      <w:r>
        <w:rPr>
          <w:rFonts w:hint="eastAsia" w:ascii="仿宋_GB2312" w:eastAsia="仿宋_GB2312" w:cs="DengXian-Regular"/>
          <w:sz w:val="32"/>
          <w:szCs w:val="32"/>
        </w:rPr>
        <w:t>万元。与201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年度决算相比，</w:t>
      </w:r>
      <w:r>
        <w:rPr>
          <w:rFonts w:hint="eastAsia" w:ascii="仿宋_GB2312" w:eastAsia="仿宋_GB2312" w:cs="DengXian-Regular"/>
          <w:sz w:val="32"/>
          <w:szCs w:val="32"/>
          <w:lang w:eastAsia="zh-CN"/>
        </w:rPr>
        <w:t>收入减少</w:t>
      </w:r>
      <w:r>
        <w:rPr>
          <w:rFonts w:hint="eastAsia" w:ascii="仿宋_GB2312" w:eastAsia="仿宋_GB2312" w:cs="DengXian-Regular"/>
          <w:sz w:val="32"/>
          <w:szCs w:val="32"/>
          <w:lang w:val="en-US" w:eastAsia="zh-CN"/>
        </w:rPr>
        <w:t>70.4</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降低</w:t>
      </w:r>
      <w:r>
        <w:rPr>
          <w:rFonts w:hint="eastAsia" w:ascii="仿宋_GB2312" w:eastAsia="仿宋_GB2312" w:cs="DengXian-Regular"/>
          <w:sz w:val="32"/>
          <w:szCs w:val="32"/>
          <w:lang w:val="en-US" w:eastAsia="zh-CN"/>
        </w:rPr>
        <w:t>8.15</w:t>
      </w:r>
      <w:r>
        <w:rPr>
          <w:rFonts w:hint="eastAsia" w:ascii="仿宋_GB2312" w:eastAsia="仿宋_GB2312" w:cs="DengXian-Regular"/>
          <w:sz w:val="32"/>
          <w:szCs w:val="32"/>
        </w:rPr>
        <w:t>%，主要原因是</w:t>
      </w:r>
      <w:r>
        <w:rPr>
          <w:rFonts w:hint="eastAsia" w:ascii="仿宋_GB2312" w:eastAsia="仿宋_GB2312" w:cs="DengXian-Regular"/>
          <w:sz w:val="32"/>
          <w:szCs w:val="32"/>
          <w:highlight w:val="none"/>
        </w:rPr>
        <w:t>按照规定</w:t>
      </w:r>
      <w:r>
        <w:rPr>
          <w:rFonts w:hint="eastAsia" w:ascii="仿宋_GB2312" w:eastAsia="仿宋_GB2312" w:cs="DengXian-Regular"/>
          <w:sz w:val="32"/>
          <w:szCs w:val="32"/>
          <w:highlight w:val="none"/>
          <w:lang w:eastAsia="zh-CN"/>
        </w:rPr>
        <w:t>贯彻落实中央八项规定，厉行勤俭节约</w:t>
      </w:r>
      <w:r>
        <w:rPr>
          <w:rFonts w:hint="eastAsia" w:ascii="仿宋_GB2312" w:eastAsia="仿宋_GB2312" w:cs="DengXian-Regular"/>
          <w:sz w:val="32"/>
          <w:szCs w:val="32"/>
          <w:highlight w:val="none"/>
        </w:rPr>
        <w:t>。</w:t>
      </w:r>
    </w:p>
    <w:p>
      <w:pPr>
        <w:snapToGrid w:val="0"/>
        <w:spacing w:line="360" w:lineRule="auto"/>
        <w:ind w:firstLine="640" w:firstLineChars="200"/>
        <w:rPr>
          <w:rFonts w:hint="eastAsia" w:ascii="仿宋_GB2312" w:eastAsia="仿宋_GB2312" w:cs="DengXian-Regular"/>
          <w:sz w:val="32"/>
          <w:szCs w:val="32"/>
          <w:highlight w:val="yellow"/>
        </w:rPr>
      </w:pPr>
      <w:r>
        <w:rPr>
          <w:rFonts w:hint="eastAsia" w:ascii="仿宋_GB2312" w:eastAsia="仿宋_GB2312" w:cs="DengXian-Regular"/>
          <w:sz w:val="32"/>
          <w:szCs w:val="32"/>
        </w:rPr>
        <w:t>本部门201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w:t>
      </w:r>
      <w:r>
        <w:rPr>
          <w:rFonts w:hint="eastAsia" w:ascii="仿宋_GB2312" w:eastAsia="仿宋_GB2312" w:cs="DengXian-Regular"/>
          <w:sz w:val="32"/>
          <w:szCs w:val="32"/>
          <w:lang w:eastAsia="zh-CN"/>
        </w:rPr>
        <w:t>支出</w:t>
      </w:r>
      <w:r>
        <w:rPr>
          <w:rFonts w:hint="eastAsia" w:ascii="仿宋_GB2312" w:eastAsia="仿宋_GB2312" w:cs="DengXian-Regular"/>
          <w:sz w:val="32"/>
          <w:szCs w:val="32"/>
        </w:rPr>
        <w:t>总计</w:t>
      </w:r>
      <w:r>
        <w:rPr>
          <w:rFonts w:hint="eastAsia" w:ascii="仿宋_GB2312" w:eastAsia="仿宋_GB2312" w:cs="DengXian-Regular"/>
          <w:sz w:val="32"/>
          <w:szCs w:val="32"/>
          <w:lang w:val="en-US" w:eastAsia="zh-CN"/>
        </w:rPr>
        <w:t>788.15</w:t>
      </w:r>
      <w:r>
        <w:rPr>
          <w:rFonts w:hint="eastAsia" w:ascii="仿宋_GB2312" w:eastAsia="仿宋_GB2312" w:cs="DengXian-Regular"/>
          <w:sz w:val="32"/>
          <w:szCs w:val="32"/>
        </w:rPr>
        <w:t>万元。与201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年度决算相比，</w:t>
      </w:r>
      <w:r>
        <w:rPr>
          <w:rFonts w:hint="eastAsia" w:ascii="仿宋_GB2312" w:eastAsia="仿宋_GB2312" w:cs="DengXian-Regular"/>
          <w:sz w:val="32"/>
          <w:szCs w:val="32"/>
          <w:lang w:eastAsia="zh-CN"/>
        </w:rPr>
        <w:t>支出增加</w:t>
      </w:r>
      <w:r>
        <w:rPr>
          <w:rFonts w:hint="eastAsia" w:ascii="仿宋_GB2312" w:eastAsia="仿宋_GB2312" w:cs="DengXian-Regular"/>
          <w:sz w:val="32"/>
          <w:szCs w:val="32"/>
          <w:lang w:val="en-US" w:eastAsia="zh-CN"/>
        </w:rPr>
        <w:t>19.89</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增长</w:t>
      </w:r>
      <w:r>
        <w:rPr>
          <w:rFonts w:hint="eastAsia" w:ascii="仿宋_GB2312" w:eastAsia="仿宋_GB2312" w:cs="DengXian-Regular"/>
          <w:sz w:val="32"/>
          <w:szCs w:val="32"/>
          <w:lang w:val="en-US" w:eastAsia="zh-CN"/>
        </w:rPr>
        <w:t>2.59</w:t>
      </w:r>
      <w:r>
        <w:rPr>
          <w:rFonts w:hint="eastAsia" w:ascii="仿宋_GB2312" w:eastAsia="仿宋_GB2312" w:cs="DengXian-Regular"/>
          <w:sz w:val="32"/>
          <w:szCs w:val="32"/>
        </w:rPr>
        <w:t>%，主要原因是</w:t>
      </w:r>
      <w:r>
        <w:rPr>
          <w:rFonts w:hint="eastAsia" w:ascii="仿宋_GB2312" w:eastAsia="仿宋_GB2312" w:cs="DengXian-Regular"/>
          <w:sz w:val="32"/>
          <w:szCs w:val="32"/>
          <w:lang w:eastAsia="zh-CN"/>
        </w:rPr>
        <w:t>日常工作办案需要</w:t>
      </w:r>
      <w:r>
        <w:rPr>
          <w:rFonts w:hint="eastAsia" w:ascii="仿宋_GB2312" w:eastAsia="仿宋_GB2312" w:cs="DengXian-Regular"/>
          <w:sz w:val="32"/>
          <w:szCs w:val="32"/>
        </w:rPr>
        <w:t>。</w:t>
      </w:r>
    </w:p>
    <w:p>
      <w:pPr>
        <w:adjustRightInd w:val="0"/>
        <w:snapToGrid w:val="0"/>
        <w:spacing w:line="580" w:lineRule="exact"/>
        <w:ind w:firstLine="640" w:firstLineChars="200"/>
        <w:rPr>
          <w:rFonts w:ascii="仿宋" w:hAnsi="仿宋" w:eastAsia="仿宋" w:cs="DengXian-Regular"/>
          <w:sz w:val="32"/>
          <w:szCs w:val="32"/>
        </w:rPr>
      </w:pPr>
      <w:r>
        <w:rPr>
          <w:rFonts w:hint="eastAsia" w:ascii="仿宋" w:hAnsi="仿宋" w:eastAsia="仿宋" w:cs="Times New Roman"/>
          <w:sz w:val="32"/>
          <w:szCs w:val="32"/>
        </w:rPr>
        <w:t>二、收入决算情况说明</w:t>
      </w:r>
    </w:p>
    <w:p>
      <w:pPr>
        <w:jc w:val="left"/>
        <w:rPr>
          <w:rFonts w:ascii="仿宋" w:hAnsi="仿宋" w:eastAsia="仿宋"/>
          <w:b/>
          <w:sz w:val="32"/>
          <w:szCs w:val="32"/>
        </w:rPr>
      </w:pPr>
      <w:r>
        <w:rPr>
          <w:rFonts w:hint="eastAsia" w:ascii="仿宋_GB2312" w:hAnsi="Times New Roman" w:eastAsia="仿宋_GB2312" w:cs="DengXian-Regular"/>
          <w:sz w:val="32"/>
          <w:szCs w:val="32"/>
        </w:rPr>
        <w:t>本部门2019年度本年收入合计</w:t>
      </w:r>
      <w:r>
        <w:rPr>
          <w:rFonts w:hint="eastAsia" w:ascii="仿宋_GB2312" w:hAnsi="Times New Roman" w:eastAsia="仿宋_GB2312" w:cs="DengXian-Regular"/>
          <w:sz w:val="32"/>
          <w:szCs w:val="32"/>
          <w:lang w:val="en-US" w:eastAsia="zh-CN"/>
        </w:rPr>
        <w:t>793.62</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793.62</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%；其他收入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仿宋" w:hAnsi="仿宋" w:eastAsia="仿宋" w:cs="Times New Roman"/>
          <w:sz w:val="32"/>
          <w:szCs w:val="32"/>
        </w:rPr>
      </w:pPr>
      <w:r>
        <w:rPr>
          <w:rFonts w:hint="eastAsia" w:ascii="仿宋" w:hAnsi="仿宋" w:eastAsia="仿宋" w:cs="Times New Roman"/>
          <w:sz w:val="32"/>
          <w:szCs w:val="32"/>
        </w:rPr>
        <w:t>三、支出决算情况说明</w:t>
      </w:r>
    </w:p>
    <w:p>
      <w:pPr>
        <w:ind w:firstLine="640" w:firstLineChars="200"/>
        <w:jc w:val="left"/>
        <w:rPr>
          <w:rFonts w:ascii="仿宋" w:hAnsi="仿宋" w:eastAsia="仿宋"/>
          <w:b/>
          <w:sz w:val="32"/>
          <w:szCs w:val="32"/>
        </w:rPr>
      </w:pPr>
      <w:r>
        <w:rPr>
          <w:rFonts w:hint="eastAsia" w:ascii="仿宋_GB2312" w:hAnsi="Times New Roman" w:eastAsia="仿宋_GB2312" w:cs="DengXian-Regular"/>
          <w:sz w:val="32"/>
          <w:szCs w:val="32"/>
        </w:rPr>
        <w:t>本部门2019年度本年支出合计</w:t>
      </w:r>
      <w:r>
        <w:rPr>
          <w:rFonts w:hint="eastAsia" w:ascii="仿宋_GB2312" w:hAnsi="Times New Roman" w:eastAsia="仿宋_GB2312" w:cs="DengXian-Regular"/>
          <w:sz w:val="32"/>
          <w:szCs w:val="32"/>
          <w:lang w:val="en-US" w:eastAsia="zh-CN"/>
        </w:rPr>
        <w:t>788.15</w:t>
      </w:r>
      <w:r>
        <w:rPr>
          <w:rFonts w:hint="eastAsia" w:ascii="仿宋_GB2312" w:hAnsi="Times New Roman" w:eastAsia="仿宋_GB2312" w:cs="DengXian-Regular"/>
          <w:sz w:val="32"/>
          <w:szCs w:val="32"/>
        </w:rPr>
        <w:t>万元，其中：基本支出</w:t>
      </w:r>
      <w:r>
        <w:rPr>
          <w:rFonts w:hint="eastAsia" w:ascii="仿宋_GB2312" w:hAnsi="Times New Roman" w:eastAsia="仿宋_GB2312" w:cs="DengXian-Regular"/>
          <w:sz w:val="32"/>
          <w:szCs w:val="32"/>
          <w:lang w:val="en-US" w:eastAsia="zh-CN"/>
        </w:rPr>
        <w:t>654.55</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83.05</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133.61</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16.95</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p>
    <w:p>
      <w:pPr>
        <w:jc w:val="left"/>
        <w:rPr>
          <w:rFonts w:ascii="仿宋" w:hAnsi="仿宋" w:eastAsia="仿宋"/>
          <w:b/>
          <w:sz w:val="32"/>
          <w:szCs w:val="32"/>
        </w:rPr>
      </w:pPr>
    </w:p>
    <w:p>
      <w:pPr>
        <w:keepNext/>
        <w:keepLines/>
        <w:snapToGrid w:val="0"/>
        <w:spacing w:line="580" w:lineRule="exact"/>
        <w:outlineLvl w:val="1"/>
        <w:rPr>
          <w:rFonts w:ascii="仿宋" w:hAnsi="仿宋" w:eastAsia="仿宋" w:cs="Times New Roman"/>
          <w:sz w:val="32"/>
          <w:szCs w:val="32"/>
        </w:rPr>
      </w:pPr>
      <w:r>
        <w:rPr>
          <w:rFonts w:hint="eastAsia" w:ascii="仿宋" w:hAnsi="仿宋" w:eastAsia="仿宋" w:cs="Times New Roman"/>
          <w:sz w:val="32"/>
          <w:szCs w:val="32"/>
        </w:rPr>
        <w:t>四、</w:t>
      </w:r>
      <w:r>
        <w:rPr>
          <w:rFonts w:hint="eastAsia" w:ascii="仿宋" w:hAnsi="仿宋" w:eastAsia="仿宋" w:cs="黑体"/>
          <w:kern w:val="0"/>
          <w:sz w:val="32"/>
          <w:szCs w:val="32"/>
        </w:rPr>
        <w:t>财政</w:t>
      </w:r>
      <w:r>
        <w:rPr>
          <w:rFonts w:hint="eastAsia" w:ascii="仿宋" w:hAnsi="仿宋" w:eastAsia="仿宋" w:cs="Times New Roman"/>
          <w:sz w:val="32"/>
          <w:szCs w:val="32"/>
        </w:rPr>
        <w:t>拨款收入支出决算总体情况说明</w:t>
      </w:r>
    </w:p>
    <w:p>
      <w:pPr>
        <w:snapToGrid w:val="0"/>
        <w:spacing w:line="580" w:lineRule="exact"/>
        <w:ind w:firstLine="640" w:firstLineChars="200"/>
        <w:rPr>
          <w:rFonts w:ascii="仿宋" w:hAnsi="仿宋" w:eastAsia="仿宋" w:cs="DengXian-Bold"/>
          <w:bCs/>
          <w:sz w:val="32"/>
          <w:szCs w:val="32"/>
        </w:rPr>
      </w:pPr>
      <w:r>
        <w:rPr>
          <w:rFonts w:hint="eastAsia" w:ascii="仿宋" w:hAnsi="仿宋" w:eastAsia="仿宋" w:cs="DengXian-Bold"/>
          <w:bCs/>
          <w:sz w:val="32"/>
          <w:szCs w:val="32"/>
        </w:rPr>
        <w:t>（一）财政拨款收支与2018 年度决算对比情况</w:t>
      </w:r>
    </w:p>
    <w:p>
      <w:pPr>
        <w:snapToGrid w:val="0"/>
        <w:spacing w:line="360" w:lineRule="auto"/>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rPr>
        <w:t>本部门2019年度形成的财政拨款收支均为一般公共预算财政拨款，其中本年收入</w:t>
      </w:r>
      <w:r>
        <w:rPr>
          <w:rFonts w:hint="eastAsia" w:ascii="仿宋_GB2312" w:hAnsi="Times New Roman" w:eastAsia="仿宋_GB2312" w:cs="DengXian-Regular"/>
          <w:sz w:val="32"/>
          <w:szCs w:val="32"/>
          <w:lang w:val="en-US" w:eastAsia="zh-CN"/>
        </w:rPr>
        <w:t>793.62</w:t>
      </w:r>
      <w:r>
        <w:rPr>
          <w:rFonts w:hint="eastAsia" w:ascii="仿宋_GB2312" w:hAnsi="Times New Roman" w:eastAsia="仿宋_GB2312" w:cs="DengXian-Regular"/>
          <w:sz w:val="32"/>
          <w:szCs w:val="32"/>
        </w:rPr>
        <w:t>万元,比2018年度</w:t>
      </w:r>
      <w:r>
        <w:rPr>
          <w:rFonts w:hint="eastAsia" w:ascii="仿宋_GB2312" w:hAnsi="Times New Roman" w:eastAsia="仿宋_GB2312" w:cs="DengXian-Regular"/>
          <w:sz w:val="32"/>
          <w:szCs w:val="32"/>
          <w:lang w:eastAsia="zh-CN"/>
        </w:rPr>
        <w:t>减少</w:t>
      </w:r>
      <w:r>
        <w:rPr>
          <w:rFonts w:hint="eastAsia" w:ascii="仿宋_GB2312" w:eastAsia="仿宋_GB2312" w:cs="DengXian-Regular"/>
          <w:sz w:val="32"/>
          <w:szCs w:val="32"/>
          <w:lang w:val="en-US" w:eastAsia="zh-CN"/>
        </w:rPr>
        <w:t>70.4</w:t>
      </w:r>
      <w:r>
        <w:rPr>
          <w:rFonts w:hint="eastAsia" w:ascii="仿宋_GB2312" w:hAnsi="Times New Roman" w:eastAsia="仿宋_GB2312" w:cs="DengXian-Regular"/>
          <w:sz w:val="32"/>
          <w:szCs w:val="32"/>
        </w:rPr>
        <w:t>万元，</w:t>
      </w:r>
      <w:r>
        <w:rPr>
          <w:rFonts w:hint="eastAsia" w:ascii="仿宋_GB2312" w:eastAsia="仿宋_GB2312" w:cs="DengXian-Regular"/>
          <w:sz w:val="32"/>
          <w:szCs w:val="32"/>
          <w:lang w:eastAsia="zh-CN"/>
        </w:rPr>
        <w:t>降低</w:t>
      </w:r>
      <w:r>
        <w:rPr>
          <w:rFonts w:hint="eastAsia" w:ascii="仿宋_GB2312" w:eastAsia="仿宋_GB2312" w:cs="DengXian-Regular"/>
          <w:sz w:val="32"/>
          <w:szCs w:val="32"/>
          <w:lang w:val="en-US" w:eastAsia="zh-CN"/>
        </w:rPr>
        <w:t>8.15</w:t>
      </w:r>
      <w:r>
        <w:rPr>
          <w:rFonts w:hint="eastAsia" w:ascii="仿宋_GB2312" w:eastAsia="仿宋_GB2312" w:cs="DengXian-Regular"/>
          <w:sz w:val="32"/>
          <w:szCs w:val="32"/>
        </w:rPr>
        <w:t>%</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highlight w:val="none"/>
        </w:rPr>
        <w:t>主要是</w:t>
      </w:r>
      <w:r>
        <w:rPr>
          <w:rFonts w:hint="eastAsia" w:ascii="仿宋_GB2312" w:hAnsi="Times New Roman" w:eastAsia="仿宋_GB2312" w:cs="DengXian-Regular"/>
          <w:sz w:val="32"/>
          <w:szCs w:val="32"/>
          <w:highlight w:val="none"/>
          <w:lang w:eastAsia="zh-CN"/>
        </w:rPr>
        <w:t>遵守中央八项规定，厉行节约，压减经费</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本年度支出</w:t>
      </w:r>
      <w:r>
        <w:rPr>
          <w:rFonts w:hint="eastAsia" w:ascii="仿宋_GB2312" w:eastAsia="仿宋_GB2312" w:cs="DengXian-Regular"/>
          <w:sz w:val="32"/>
          <w:szCs w:val="32"/>
          <w:lang w:val="en-US" w:eastAsia="zh-CN"/>
        </w:rPr>
        <w:t>788.15</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与201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年度决算相比，</w:t>
      </w:r>
      <w:r>
        <w:rPr>
          <w:rFonts w:hint="eastAsia" w:ascii="仿宋_GB2312" w:eastAsia="仿宋_GB2312" w:cs="DengXian-Regular"/>
          <w:sz w:val="32"/>
          <w:szCs w:val="32"/>
          <w:lang w:eastAsia="zh-CN"/>
        </w:rPr>
        <w:t>支出增加</w:t>
      </w:r>
      <w:r>
        <w:rPr>
          <w:rFonts w:hint="eastAsia" w:ascii="仿宋_GB2312" w:eastAsia="仿宋_GB2312" w:cs="DengXian-Regular"/>
          <w:sz w:val="32"/>
          <w:szCs w:val="32"/>
          <w:lang w:val="en-US" w:eastAsia="zh-CN"/>
        </w:rPr>
        <w:t>19.89</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增长</w:t>
      </w:r>
      <w:r>
        <w:rPr>
          <w:rFonts w:hint="eastAsia" w:ascii="仿宋_GB2312" w:eastAsia="仿宋_GB2312" w:cs="DengXian-Regular"/>
          <w:sz w:val="32"/>
          <w:szCs w:val="32"/>
          <w:lang w:val="en-US" w:eastAsia="zh-CN"/>
        </w:rPr>
        <w:t>2.59</w:t>
      </w:r>
      <w:r>
        <w:rPr>
          <w:rFonts w:hint="eastAsia" w:ascii="仿宋_GB2312" w:eastAsia="仿宋_GB2312" w:cs="DengXian-Regular"/>
          <w:sz w:val="32"/>
          <w:szCs w:val="32"/>
        </w:rPr>
        <w:t>%，主要原因是</w:t>
      </w:r>
      <w:r>
        <w:rPr>
          <w:rFonts w:hint="eastAsia" w:ascii="仿宋_GB2312" w:eastAsia="仿宋_GB2312" w:cs="DengXian-Regular"/>
          <w:sz w:val="32"/>
          <w:szCs w:val="32"/>
          <w:lang w:eastAsia="zh-CN"/>
        </w:rPr>
        <w:t>日常工作办案需要</w:t>
      </w:r>
      <w:r>
        <w:rPr>
          <w:rFonts w:hint="eastAsia" w:ascii="仿宋_GB2312" w:eastAsia="仿宋_GB2312" w:cs="DengXian-Regular"/>
          <w:sz w:val="32"/>
          <w:szCs w:val="32"/>
        </w:rPr>
        <w:t>。</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本部门2019年度一般公共预算财政拨款收入</w:t>
      </w:r>
      <w:r>
        <w:rPr>
          <w:rFonts w:hint="eastAsia" w:ascii="仿宋_GB2312" w:hAnsi="Times New Roman" w:eastAsia="仿宋_GB2312" w:cs="DengXian-Regular"/>
          <w:sz w:val="32"/>
          <w:szCs w:val="32"/>
          <w:lang w:val="en-US" w:eastAsia="zh-CN"/>
        </w:rPr>
        <w:t>793.62</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23.73</w:t>
      </w:r>
      <w:r>
        <w:rPr>
          <w:rFonts w:hint="eastAsia" w:ascii="仿宋_GB2312" w:hAnsi="Times New Roman" w:eastAsia="仿宋_GB2312" w:cs="DengXian-Regular"/>
          <w:sz w:val="32"/>
          <w:szCs w:val="32"/>
        </w:rPr>
        <w:t>万元，决算数大于预算数主要原因是</w:t>
      </w:r>
      <w:r>
        <w:rPr>
          <w:rFonts w:hint="eastAsia" w:ascii="仿宋_GB2312" w:hAnsi="Times New Roman" w:eastAsia="仿宋_GB2312" w:cs="DengXian-Regular"/>
          <w:sz w:val="32"/>
          <w:szCs w:val="32"/>
          <w:lang w:eastAsia="zh-CN"/>
        </w:rPr>
        <w:t>按照规定调整人员工资，人员经费增加</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788.15</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18.26</w:t>
      </w:r>
      <w:r>
        <w:rPr>
          <w:rFonts w:hint="eastAsia" w:ascii="仿宋_GB2312" w:hAnsi="Times New Roman" w:eastAsia="仿宋_GB2312" w:cs="DengXian-Regular"/>
          <w:sz w:val="32"/>
          <w:szCs w:val="32"/>
        </w:rPr>
        <w:t>万元，决算数大于预算数主要原因是主要是</w:t>
      </w:r>
      <w:r>
        <w:rPr>
          <w:rFonts w:hint="eastAsia" w:ascii="仿宋_GB2312" w:hAnsi="Times New Roman" w:eastAsia="仿宋_GB2312" w:cs="DengXian-Regular"/>
          <w:sz w:val="32"/>
          <w:szCs w:val="32"/>
          <w:lang w:eastAsia="zh-CN"/>
        </w:rPr>
        <w:t>根据工作办案需要</w:t>
      </w:r>
      <w:r>
        <w:rPr>
          <w:rFonts w:hint="eastAsia" w:ascii="仿宋_GB2312" w:hAnsi="Times New Roman" w:eastAsia="仿宋_GB2312" w:cs="DengXian-Regular"/>
          <w:sz w:val="32"/>
          <w:szCs w:val="32"/>
        </w:rPr>
        <w:t>。</w:t>
      </w:r>
    </w:p>
    <w:p>
      <w:pPr>
        <w:numPr>
          <w:ilvl w:val="0"/>
          <w:numId w:val="1"/>
        </w:numPr>
        <w:adjustRightInd w:val="0"/>
        <w:snapToGrid w:val="0"/>
        <w:spacing w:line="580" w:lineRule="exact"/>
        <w:ind w:left="420" w:leftChars="200"/>
        <w:rPr>
          <w:rFonts w:ascii="仿宋" w:hAnsi="仿宋" w:eastAsia="仿宋" w:cs="DengXian-Bold"/>
          <w:bCs/>
          <w:sz w:val="32"/>
          <w:szCs w:val="32"/>
        </w:rPr>
      </w:pPr>
      <w:r>
        <w:rPr>
          <w:rFonts w:hint="eastAsia" w:ascii="仿宋" w:hAnsi="仿宋" w:eastAsia="仿宋" w:cs="DengXian-Bold"/>
          <w:bCs/>
          <w:sz w:val="32"/>
          <w:szCs w:val="32"/>
        </w:rPr>
        <w:t>财政拨款支出决算结构情况。</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年度财政拨款支出</w:t>
      </w:r>
      <w:r>
        <w:rPr>
          <w:rFonts w:hint="eastAsia" w:ascii="仿宋_GB2312" w:hAnsi="Times New Roman" w:eastAsia="仿宋_GB2312" w:cs="DengXian-Regular"/>
          <w:sz w:val="32"/>
          <w:szCs w:val="32"/>
          <w:lang w:val="en-US" w:eastAsia="zh-CN"/>
        </w:rPr>
        <w:t>788.15</w:t>
      </w:r>
      <w:r>
        <w:rPr>
          <w:rFonts w:hint="eastAsia" w:ascii="仿宋_GB2312" w:hAnsi="Times New Roman" w:eastAsia="仿宋_GB2312" w:cs="DengXian-Regular"/>
          <w:sz w:val="32"/>
          <w:szCs w:val="32"/>
        </w:rPr>
        <w:t>万元，主要用于以下方面</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一般公共服务（类）支出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%，；公共安全类（类）支出</w:t>
      </w:r>
      <w:r>
        <w:rPr>
          <w:rFonts w:hint="eastAsia" w:ascii="仿宋_GB2312" w:hAnsi="Times New Roman" w:eastAsia="仿宋_GB2312" w:cs="DengXian-Regular"/>
          <w:sz w:val="32"/>
          <w:szCs w:val="32"/>
          <w:lang w:val="en-US" w:eastAsia="zh-CN"/>
        </w:rPr>
        <w:t>672.15</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85.28</w:t>
      </w:r>
      <w:r>
        <w:rPr>
          <w:rFonts w:hint="eastAsia" w:ascii="仿宋_GB2312" w:hAnsi="Times New Roman" w:eastAsia="仿宋_GB2312" w:cs="DengXian-Regular"/>
          <w:sz w:val="32"/>
          <w:szCs w:val="32"/>
        </w:rPr>
        <w:t>%；教育（类）支出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%；科学技术（类）支出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 xml:space="preserve">万元，占 </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 xml:space="preserve">%；社会保障和就业（类）支出 </w:t>
      </w:r>
      <w:r>
        <w:rPr>
          <w:rFonts w:hint="eastAsia" w:ascii="仿宋_GB2312" w:hAnsi="Times New Roman" w:eastAsia="仿宋_GB2312" w:cs="DengXian-Regular"/>
          <w:sz w:val="32"/>
          <w:szCs w:val="32"/>
          <w:lang w:val="en-US" w:eastAsia="zh-CN"/>
        </w:rPr>
        <w:t>81.74</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10.37</w:t>
      </w:r>
      <w:r>
        <w:rPr>
          <w:rFonts w:hint="eastAsia" w:ascii="仿宋_GB2312" w:hAnsi="Times New Roman" w:eastAsia="仿宋_GB2312" w:cs="DengXian-Regular"/>
          <w:sz w:val="32"/>
          <w:szCs w:val="32"/>
        </w:rPr>
        <w:t>%；住房保障（类）支出</w:t>
      </w:r>
      <w:r>
        <w:rPr>
          <w:rFonts w:hint="eastAsia" w:ascii="仿宋_GB2312" w:hAnsi="Times New Roman" w:eastAsia="仿宋_GB2312" w:cs="DengXian-Regular"/>
          <w:sz w:val="32"/>
          <w:szCs w:val="32"/>
          <w:lang w:val="en-US" w:eastAsia="zh-CN"/>
        </w:rPr>
        <w:t>21.94</w:t>
      </w:r>
      <w:r>
        <w:rPr>
          <w:rFonts w:hint="eastAsia" w:ascii="仿宋_GB2312" w:hAnsi="Times New Roman" w:eastAsia="仿宋_GB2312" w:cs="DengXian-Regular"/>
          <w:sz w:val="32"/>
          <w:szCs w:val="32"/>
        </w:rPr>
        <w:t xml:space="preserve">万元，占 </w:t>
      </w:r>
      <w:r>
        <w:rPr>
          <w:rFonts w:hint="eastAsia" w:ascii="仿宋_GB2312" w:hAnsi="Times New Roman" w:eastAsia="仿宋_GB2312" w:cs="DengXian-Regular"/>
          <w:sz w:val="32"/>
          <w:szCs w:val="32"/>
          <w:lang w:val="en-US" w:eastAsia="zh-CN"/>
        </w:rPr>
        <w:t>2.78</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卫生健康支出</w:t>
      </w:r>
      <w:r>
        <w:rPr>
          <w:rFonts w:hint="eastAsia" w:ascii="仿宋_GB2312" w:hAnsi="Times New Roman" w:eastAsia="仿宋_GB2312" w:cs="DengXian-Regular"/>
          <w:sz w:val="32"/>
          <w:szCs w:val="32"/>
          <w:lang w:val="en-US" w:eastAsia="zh-CN"/>
        </w:rPr>
        <w:t>12.32万元，占1.57%</w:t>
      </w:r>
      <w:r>
        <w:rPr>
          <w:rFonts w:hint="eastAsia" w:ascii="仿宋_GB2312" w:hAnsi="Times New Roman" w:eastAsia="仿宋_GB2312" w:cs="DengXian-Regular"/>
          <w:sz w:val="32"/>
          <w:szCs w:val="32"/>
        </w:rPr>
        <w:t>。</w:t>
      </w:r>
    </w:p>
    <w:p>
      <w:pPr>
        <w:adjustRightInd w:val="0"/>
        <w:snapToGrid w:val="0"/>
        <w:spacing w:line="580" w:lineRule="exact"/>
        <w:ind w:left="420" w:leftChars="200"/>
        <w:rPr>
          <w:rFonts w:ascii="仿宋" w:hAnsi="仿宋" w:eastAsia="仿宋" w:cs="DengXian-Bold"/>
          <w:bCs/>
          <w:sz w:val="32"/>
          <w:szCs w:val="32"/>
        </w:rPr>
      </w:pPr>
      <w:r>
        <w:rPr>
          <w:rFonts w:hint="eastAsia" w:ascii="仿宋" w:hAnsi="仿宋" w:eastAsia="仿宋" w:cs="DengXian-Bold"/>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年度财政拨款基本支出</w:t>
      </w:r>
      <w:r>
        <w:rPr>
          <w:rFonts w:hint="eastAsia" w:ascii="仿宋_GB2312" w:hAnsi="Times New Roman" w:eastAsia="仿宋_GB2312" w:cs="DengXian-Regular"/>
          <w:sz w:val="32"/>
          <w:szCs w:val="32"/>
          <w:lang w:val="en-US" w:eastAsia="zh-CN"/>
        </w:rPr>
        <w:t>654.55</w:t>
      </w:r>
      <w:r>
        <w:rPr>
          <w:rFonts w:hint="eastAsia" w:ascii="仿宋_GB2312" w:hAnsi="Times New Roman" w:eastAsia="仿宋_GB2312" w:cs="DengXian-Regular"/>
          <w:sz w:val="32"/>
          <w:szCs w:val="32"/>
        </w:rPr>
        <w:t>万元，其中：人员经费</w:t>
      </w:r>
      <w:r>
        <w:rPr>
          <w:rFonts w:hint="eastAsia" w:ascii="仿宋_GB2312" w:hAnsi="Times New Roman" w:eastAsia="仿宋_GB2312" w:cs="DengXian-Regular"/>
          <w:sz w:val="32"/>
          <w:szCs w:val="32"/>
          <w:lang w:val="en-US" w:eastAsia="zh-CN"/>
        </w:rPr>
        <w:t>430.98</w:t>
      </w:r>
      <w:r>
        <w:rPr>
          <w:rFonts w:hint="eastAsia" w:ascii="仿宋_GB2312" w:hAnsi="Times New Roman"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hAnsi="Times New Roman" w:eastAsia="仿宋_GB2312" w:cs="DengXian-Regular"/>
          <w:sz w:val="32"/>
          <w:szCs w:val="32"/>
          <w:lang w:val="en-US" w:eastAsia="zh-CN"/>
        </w:rPr>
        <w:t>189.53</w:t>
      </w:r>
      <w:r>
        <w:rPr>
          <w:rFonts w:hint="eastAsia" w:ascii="仿宋_GB2312" w:hAnsi="Times New Roman"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adjustRightInd w:val="0"/>
        <w:snapToGrid w:val="0"/>
        <w:spacing w:line="580" w:lineRule="exact"/>
        <w:ind w:firstLine="640" w:firstLineChars="200"/>
        <w:rPr>
          <w:rFonts w:ascii="仿宋" w:hAnsi="仿宋" w:eastAsia="仿宋" w:cs="DengXian-Regular"/>
          <w:sz w:val="32"/>
          <w:szCs w:val="32"/>
        </w:rPr>
      </w:pPr>
      <w:r>
        <w:rPr>
          <w:rFonts w:hint="eastAsia" w:ascii="仿宋" w:hAnsi="仿宋" w:eastAsia="仿宋" w:cs="Times New Roman"/>
          <w:sz w:val="32"/>
          <w:szCs w:val="32"/>
        </w:rPr>
        <w:t>五、一般公共预算“三公” 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本部门2019年度“三公”经费支出共计</w:t>
      </w:r>
      <w:r>
        <w:rPr>
          <w:rFonts w:hint="eastAsia" w:ascii="仿宋_GB2312" w:hAnsi="Times New Roman" w:eastAsia="仿宋_GB2312" w:cs="DengXian-Regular"/>
          <w:sz w:val="32"/>
          <w:szCs w:val="32"/>
          <w:lang w:val="en-US" w:eastAsia="zh-CN"/>
        </w:rPr>
        <w:t>23</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69.7</w:t>
      </w:r>
      <w:r>
        <w:rPr>
          <w:rFonts w:hint="eastAsia" w:ascii="仿宋_GB2312" w:hAnsi="Times New Roman" w:eastAsia="仿宋_GB2312" w:cs="DengXian-Regular"/>
          <w:sz w:val="32"/>
          <w:szCs w:val="32"/>
        </w:rPr>
        <w:t>%,较预算</w:t>
      </w:r>
      <w:r>
        <w:rPr>
          <w:rFonts w:hint="eastAsia" w:ascii="仿宋_GB2312" w:hAnsi="Times New Roman" w:eastAsia="仿宋_GB2312" w:cs="DengXian-Regular"/>
          <w:sz w:val="32"/>
          <w:szCs w:val="32"/>
          <w:lang w:eastAsia="zh-CN"/>
        </w:rPr>
        <w:t>减少</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降低</w:t>
      </w:r>
      <w:r>
        <w:rPr>
          <w:rFonts w:hint="eastAsia" w:ascii="仿宋_GB2312" w:hAnsi="Times New Roman" w:eastAsia="仿宋_GB2312" w:cs="DengXian-Regular"/>
          <w:sz w:val="32"/>
          <w:szCs w:val="32"/>
          <w:lang w:val="en-US" w:eastAsia="zh-CN"/>
        </w:rPr>
        <w:t>30.3</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主要是认真贯彻落实中央“八项规定”精神和厉行节约要求，从严控制“三公”经费开支，全年实际支出比预算有所节约</w:t>
      </w:r>
      <w:r>
        <w:rPr>
          <w:rFonts w:hint="eastAsia" w:ascii="仿宋_GB2312" w:hAnsi="Times New Roman" w:eastAsia="仿宋_GB2312" w:cs="DengXian-Regular"/>
          <w:sz w:val="32"/>
          <w:szCs w:val="32"/>
        </w:rPr>
        <w:t>；较2018年度增加</w:t>
      </w:r>
      <w:r>
        <w:rPr>
          <w:rFonts w:hint="eastAsia" w:ascii="仿宋_GB2312" w:hAnsi="Times New Roman" w:eastAsia="仿宋_GB2312" w:cs="DengXian-Regular"/>
          <w:sz w:val="32"/>
          <w:szCs w:val="32"/>
          <w:lang w:val="en-US" w:eastAsia="zh-CN"/>
        </w:rPr>
        <w:t>6.68</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40.93</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工作办案需要</w:t>
      </w:r>
      <w:r>
        <w:rPr>
          <w:rFonts w:hint="eastAsia" w:ascii="仿宋_GB2312" w:hAnsi="Times New Roman" w:eastAsia="仿宋_GB2312" w:cs="DengXian-Regular"/>
          <w:sz w:val="32"/>
          <w:szCs w:val="32"/>
        </w:rPr>
        <w:t>。具体情况如下：</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 w:hAnsi="仿宋" w:eastAsia="仿宋" w:cs="DengXian-Bold"/>
          <w:bCs/>
          <w:sz w:val="32"/>
          <w:szCs w:val="32"/>
        </w:rPr>
        <w:t>（一）因公出国（境）费支出</w:t>
      </w:r>
      <w:r>
        <w:rPr>
          <w:rFonts w:hint="eastAsia" w:ascii="仿宋" w:hAnsi="仿宋" w:eastAsia="仿宋" w:cs="DengXian-Bold"/>
          <w:bCs/>
          <w:sz w:val="32"/>
          <w:szCs w:val="32"/>
          <w:lang w:val="en-US" w:eastAsia="zh-CN"/>
        </w:rPr>
        <w:t>0</w:t>
      </w:r>
      <w:r>
        <w:rPr>
          <w:rFonts w:hint="eastAsia" w:ascii="仿宋" w:hAnsi="仿宋" w:eastAsia="仿宋" w:cs="DengXian-Bold"/>
          <w:bCs/>
          <w:sz w:val="32"/>
          <w:szCs w:val="32"/>
        </w:rPr>
        <w:t>万元。</w:t>
      </w:r>
      <w:r>
        <w:rPr>
          <w:rFonts w:hint="eastAsia" w:ascii="仿宋_GB2312" w:hAnsi="Times New Roman" w:eastAsia="仿宋_GB2312" w:cs="DengXian-Regular"/>
          <w:sz w:val="32"/>
          <w:szCs w:val="32"/>
        </w:rPr>
        <w:t>本部门2019年度因公出国（境）团组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人/无本单位组织的出国（境）团组。因公出国（境）费支出较预算增加（减少）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万元，增长（降低）</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%；较上年增加（减少）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万元，增长（降低）</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Bold"/>
          <w:b/>
          <w:bCs/>
          <w:sz w:val="32"/>
          <w:szCs w:val="32"/>
        </w:rPr>
      </w:pPr>
      <w:r>
        <w:rPr>
          <w:rFonts w:hint="eastAsia" w:ascii="仿宋" w:hAnsi="仿宋" w:eastAsia="仿宋" w:cs="DengXian-Bold"/>
          <w:bCs/>
          <w:sz w:val="32"/>
          <w:szCs w:val="32"/>
        </w:rPr>
        <w:t>（二）公务用车购置及运行维护费支出</w:t>
      </w:r>
      <w:r>
        <w:rPr>
          <w:rFonts w:hint="eastAsia" w:ascii="仿宋" w:hAnsi="仿宋" w:eastAsia="仿宋" w:cs="DengXian-Bold"/>
          <w:bCs/>
          <w:sz w:val="32"/>
          <w:szCs w:val="32"/>
          <w:lang w:val="en-US" w:eastAsia="zh-CN"/>
        </w:rPr>
        <w:t>23</w:t>
      </w:r>
      <w:r>
        <w:rPr>
          <w:rFonts w:hint="eastAsia" w:ascii="仿宋" w:hAnsi="仿宋" w:eastAsia="仿宋" w:cs="DengXian-Bold"/>
          <w:bCs/>
          <w:sz w:val="32"/>
          <w:szCs w:val="32"/>
        </w:rPr>
        <w:t>万元。</w:t>
      </w:r>
      <w:r>
        <w:rPr>
          <w:rFonts w:hint="eastAsia" w:ascii="仿宋_GB2312" w:hAnsi="Times New Roman" w:eastAsia="仿宋_GB2312" w:cs="DengXian-Regular"/>
          <w:sz w:val="32"/>
          <w:szCs w:val="32"/>
        </w:rPr>
        <w:t>本部门2019年度公务用车购置及运行维护费较预算减少</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30.3</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贯彻落实中央八项规定厉行节约</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增加</w:t>
      </w:r>
      <w:r>
        <w:rPr>
          <w:rFonts w:hint="eastAsia" w:ascii="仿宋_GB2312" w:hAnsi="Times New Roman" w:eastAsia="仿宋_GB2312" w:cs="DengXian-Regular"/>
          <w:sz w:val="32"/>
          <w:szCs w:val="32"/>
          <w:lang w:val="en-US" w:eastAsia="zh-CN"/>
        </w:rPr>
        <w:t>7.33</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增长</w:t>
      </w:r>
      <w:r>
        <w:rPr>
          <w:rFonts w:hint="eastAsia" w:ascii="仿宋_GB2312" w:hAnsi="Times New Roman" w:eastAsia="仿宋_GB2312" w:cs="DengXian-Regular"/>
          <w:sz w:val="32"/>
          <w:szCs w:val="32"/>
          <w:lang w:val="en-US" w:eastAsia="zh-CN"/>
        </w:rPr>
        <w:t>46.78</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工作需要</w:t>
      </w:r>
      <w:r>
        <w:rPr>
          <w:rFonts w:hint="eastAsia" w:ascii="仿宋_GB2312" w:hAnsi="Times New Roman" w:eastAsia="仿宋_GB2312" w:cs="DengXian-Regular"/>
          <w:sz w:val="32"/>
          <w:szCs w:val="32"/>
        </w:rPr>
        <w:t>。</w:t>
      </w:r>
      <w:r>
        <w:rPr>
          <w:rFonts w:hint="eastAsia" w:ascii="仿宋" w:hAnsi="仿宋" w:eastAsia="仿宋" w:cs="DengXian-Bold"/>
          <w:bCs/>
          <w:sz w:val="32"/>
          <w:szCs w:val="32"/>
        </w:rPr>
        <w:t>其中：</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公务用车购置费：本部门2019年度公务用车购置量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万元。公务用车购置费支出较预算增加（减少）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万元，增长（降低）</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万元，增长（降低）</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公务用车运行维护费：本部门2019年度单位公务用车保有量</w:t>
      </w:r>
      <w:r>
        <w:rPr>
          <w:rFonts w:hint="eastAsia" w:ascii="仿宋_GB2312" w:hAnsi="Times New Roman" w:eastAsia="仿宋_GB2312" w:cs="DengXian-Regular"/>
          <w:sz w:val="32"/>
          <w:szCs w:val="32"/>
          <w:lang w:val="en-US" w:eastAsia="zh-CN"/>
        </w:rPr>
        <w:t>11</w:t>
      </w:r>
      <w:r>
        <w:rPr>
          <w:rFonts w:hint="eastAsia" w:ascii="仿宋_GB2312" w:hAnsi="Times New Roman" w:eastAsia="仿宋_GB2312" w:cs="DengXian-Regular"/>
          <w:sz w:val="32"/>
          <w:szCs w:val="32"/>
        </w:rPr>
        <w:t>辆。公车运行维护费支出较预算</w:t>
      </w:r>
      <w:r>
        <w:rPr>
          <w:rFonts w:hint="eastAsia" w:ascii="仿宋_GB2312" w:hAnsi="Times New Roman" w:eastAsia="仿宋_GB2312" w:cs="DengXian-Regular"/>
          <w:sz w:val="32"/>
          <w:szCs w:val="32"/>
          <w:lang w:eastAsia="zh-CN"/>
        </w:rPr>
        <w:t>减少</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万元，增</w:t>
      </w:r>
      <w:r>
        <w:rPr>
          <w:rFonts w:hint="eastAsia" w:ascii="仿宋_GB2312" w:hAnsi="Times New Roman" w:eastAsia="仿宋_GB2312" w:cs="DengXian-Regular"/>
          <w:sz w:val="32"/>
          <w:szCs w:val="32"/>
          <w:lang w:eastAsia="zh-CN"/>
        </w:rPr>
        <w:t>降低</w:t>
      </w:r>
      <w:r>
        <w:rPr>
          <w:rFonts w:hint="eastAsia" w:ascii="仿宋_GB2312" w:hAnsi="Times New Roman" w:eastAsia="仿宋_GB2312" w:cs="DengXian-Regular"/>
          <w:sz w:val="32"/>
          <w:szCs w:val="32"/>
          <w:lang w:val="en-US" w:eastAsia="zh-CN"/>
        </w:rPr>
        <w:t>30.3</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贯彻落实中央八项规定厉行节约</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增加</w:t>
      </w:r>
      <w:r>
        <w:rPr>
          <w:rFonts w:hint="eastAsia" w:ascii="仿宋_GB2312" w:hAnsi="Times New Roman" w:eastAsia="仿宋_GB2312" w:cs="DengXian-Regular"/>
          <w:sz w:val="32"/>
          <w:szCs w:val="32"/>
          <w:lang w:val="en-US" w:eastAsia="zh-CN"/>
        </w:rPr>
        <w:t>7.33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46.78</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工作需要</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 w:hAnsi="仿宋" w:eastAsia="仿宋" w:cs="DengXian-Bold"/>
          <w:bCs/>
          <w:sz w:val="32"/>
          <w:szCs w:val="32"/>
        </w:rPr>
        <w:t>（三）公务接待费支出</w:t>
      </w:r>
      <w:r>
        <w:rPr>
          <w:rFonts w:hint="eastAsia" w:ascii="仿宋" w:hAnsi="仿宋" w:eastAsia="仿宋" w:cs="DengXian-Bold"/>
          <w:bCs/>
          <w:sz w:val="32"/>
          <w:szCs w:val="32"/>
          <w:lang w:val="en-US" w:eastAsia="zh-CN"/>
        </w:rPr>
        <w:t>0</w:t>
      </w:r>
      <w:r>
        <w:rPr>
          <w:rFonts w:hint="eastAsia" w:ascii="仿宋" w:hAnsi="仿宋" w:eastAsia="仿宋" w:cs="DengXian-Bold"/>
          <w:bCs/>
          <w:sz w:val="32"/>
          <w:szCs w:val="32"/>
        </w:rPr>
        <w:t>万元。</w:t>
      </w:r>
      <w:r>
        <w:rPr>
          <w:rFonts w:hint="eastAsia" w:ascii="仿宋_GB2312" w:hAnsi="Times New Roman" w:eastAsia="仿宋_GB2312" w:cs="DengXian-Regular"/>
          <w:sz w:val="32"/>
          <w:szCs w:val="32"/>
        </w:rPr>
        <w:t>本部门2019年度公务接待共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批次、</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人次。公务接待费支出较预算减少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；较上年度减少</w:t>
      </w:r>
      <w:r>
        <w:rPr>
          <w:rFonts w:hint="eastAsia" w:ascii="仿宋_GB2312" w:hAnsi="Times New Roman" w:eastAsia="仿宋_GB2312" w:cs="DengXian-Regular"/>
          <w:sz w:val="32"/>
          <w:szCs w:val="32"/>
          <w:lang w:val="en-US" w:eastAsia="zh-CN"/>
        </w:rPr>
        <w:t>0.65</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贯彻落实中央八项规定厉行节约</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六、预算绩效情况说明</w:t>
      </w:r>
    </w:p>
    <w:p>
      <w:pPr>
        <w:adjustRightInd w:val="0"/>
        <w:snapToGrid w:val="0"/>
        <w:spacing w:line="580" w:lineRule="exact"/>
        <w:ind w:firstLine="640" w:firstLineChars="200"/>
        <w:rPr>
          <w:rFonts w:ascii="仿宋_GB2312" w:hAnsi="仿宋_GB2312" w:eastAsia="仿宋_GB2312" w:cs="仿宋_GB2312"/>
          <w:b/>
          <w:bCs/>
          <w:sz w:val="32"/>
          <w:szCs w:val="32"/>
        </w:rPr>
      </w:pPr>
      <w:r>
        <w:rPr>
          <w:rFonts w:hint="eastAsia" w:ascii="仿宋" w:hAnsi="仿宋" w:eastAsia="仿宋" w:cs="仿宋_GB2312"/>
          <w:bCs/>
          <w:sz w:val="32"/>
          <w:szCs w:val="32"/>
        </w:rPr>
        <w:t>1. 预算绩效管理工作开展情况</w:t>
      </w:r>
      <w:r>
        <w:rPr>
          <w:rFonts w:hint="eastAsia" w:ascii="仿宋_GB2312" w:hAnsi="仿宋_GB2312" w:eastAsia="仿宋_GB2312" w:cs="仿宋_GB2312"/>
          <w:b/>
          <w:bCs/>
          <w:sz w:val="32"/>
          <w:szCs w:val="32"/>
        </w:rPr>
        <w:t>。</w:t>
      </w:r>
    </w:p>
    <w:p>
      <w:pPr>
        <w:ind w:firstLine="560"/>
        <w:jc w:val="left"/>
        <w:rPr>
          <w:rFonts w:ascii="仿宋_GB2312" w:eastAsia="仿宋_GB2312" w:cs="DengXian-Regular"/>
          <w:sz w:val="32"/>
          <w:szCs w:val="32"/>
        </w:rPr>
      </w:pPr>
      <w:r>
        <w:rPr>
          <w:rFonts w:hint="eastAsia" w:ascii="宋体" w:hAnsi="宋体" w:cs="宋体"/>
          <w:sz w:val="28"/>
          <w:szCs w:val="28"/>
        </w:rPr>
        <w:t>根据</w:t>
      </w:r>
      <w:r>
        <w:rPr>
          <w:rFonts w:hint="eastAsia" w:ascii="宋体" w:hAnsi="宋体" w:cs="宋体"/>
          <w:sz w:val="28"/>
          <w:szCs w:val="28"/>
          <w:lang w:eastAsia="zh-CN"/>
        </w:rPr>
        <w:t>县</w:t>
      </w:r>
      <w:r>
        <w:rPr>
          <w:rFonts w:hint="eastAsia" w:ascii="宋体" w:hAnsi="宋体" w:cs="宋体"/>
          <w:sz w:val="28"/>
          <w:szCs w:val="28"/>
        </w:rPr>
        <w:t>财政预算绩效管理要求，</w:t>
      </w:r>
      <w:r>
        <w:rPr>
          <w:rFonts w:hint="eastAsia" w:ascii="宋体" w:hAnsi="宋体" w:cs="宋体"/>
          <w:sz w:val="28"/>
          <w:szCs w:val="28"/>
          <w:lang w:eastAsia="zh-CN"/>
        </w:rPr>
        <w:t>我院</w:t>
      </w:r>
      <w:r>
        <w:rPr>
          <w:rFonts w:hint="eastAsia" w:ascii="宋体" w:hAnsi="宋体" w:cs="宋体"/>
          <w:sz w:val="28"/>
          <w:szCs w:val="28"/>
        </w:rPr>
        <w:t>以“部门职责24—工作活动”为依据，确定部门预算项目和预算额度，清晰描述预算项目开支范围和内容，确定预算项目的绩效目标、绩效指标和评价标准，为预算绩效控制、绩效分析、绩效评价打下好的基础。</w:t>
      </w:r>
    </w:p>
    <w:p>
      <w:pPr>
        <w:adjustRightInd w:val="0"/>
        <w:snapToGrid w:val="0"/>
        <w:spacing w:line="580" w:lineRule="exact"/>
        <w:ind w:left="420" w:leftChars="200" w:firstLine="320" w:firstLineChars="1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 部门决算中项目绩效自评结果。</w:t>
      </w:r>
    </w:p>
    <w:p>
      <w:pPr>
        <w:ind w:firstLine="560"/>
        <w:jc w:val="left"/>
        <w:rPr>
          <w:rFonts w:hint="eastAsia" w:ascii="宋体" w:hAnsi="宋体" w:cs="宋体"/>
          <w:color w:val="000000" w:themeColor="text1"/>
          <w:sz w:val="28"/>
          <w:szCs w:val="28"/>
          <w14:textFill>
            <w14:solidFill>
              <w14:schemeClr w14:val="tx1"/>
            </w14:solidFill>
          </w14:textFill>
        </w:rPr>
      </w:pPr>
      <w:r>
        <w:rPr>
          <w:rFonts w:hint="eastAsia" w:ascii="宋体" w:hAnsi="宋体" w:cs="宋体"/>
          <w:sz w:val="28"/>
          <w:szCs w:val="28"/>
        </w:rPr>
        <w:t>按照</w:t>
      </w:r>
      <w:r>
        <w:rPr>
          <w:rFonts w:hint="eastAsia" w:ascii="宋体" w:hAnsi="宋体" w:cs="宋体"/>
          <w:sz w:val="28"/>
          <w:szCs w:val="28"/>
          <w:lang w:eastAsia="zh-CN"/>
        </w:rPr>
        <w:t>县</w:t>
      </w:r>
      <w:r>
        <w:rPr>
          <w:rFonts w:hint="eastAsia" w:ascii="宋体" w:hAnsi="宋体" w:cs="宋体"/>
          <w:sz w:val="28"/>
          <w:szCs w:val="28"/>
        </w:rPr>
        <w:t>财政预算绩效管理要求，</w:t>
      </w:r>
      <w:r>
        <w:rPr>
          <w:rFonts w:hint="eastAsia" w:ascii="宋体" w:hAnsi="宋体" w:cs="宋体"/>
          <w:sz w:val="28"/>
          <w:szCs w:val="28"/>
          <w:lang w:eastAsia="zh-CN"/>
        </w:rPr>
        <w:t>我院</w:t>
      </w:r>
      <w:r>
        <w:rPr>
          <w:rFonts w:hint="eastAsia" w:ascii="宋体" w:hAnsi="宋体" w:cs="宋体"/>
          <w:sz w:val="28"/>
          <w:szCs w:val="28"/>
        </w:rPr>
        <w:t>对 201</w:t>
      </w:r>
      <w:r>
        <w:rPr>
          <w:rFonts w:hint="eastAsia" w:ascii="宋体" w:hAnsi="宋体" w:cs="宋体"/>
          <w:sz w:val="28"/>
          <w:szCs w:val="28"/>
          <w:lang w:val="en-US" w:eastAsia="zh-CN"/>
        </w:rPr>
        <w:t>8</w:t>
      </w:r>
      <w:r>
        <w:rPr>
          <w:rFonts w:hint="eastAsia" w:ascii="宋体" w:hAnsi="宋体" w:cs="宋体"/>
          <w:sz w:val="28"/>
          <w:szCs w:val="28"/>
        </w:rPr>
        <w:t xml:space="preserve"> 年初确定的部门一般公共预算支出专项项目全面开展了绩效自评。</w:t>
      </w:r>
      <w:r>
        <w:rPr>
          <w:rFonts w:hint="eastAsia" w:ascii="宋体" w:hAnsi="宋体" w:cs="宋体"/>
          <w:color w:val="000000" w:themeColor="text1"/>
          <w:sz w:val="28"/>
          <w:szCs w:val="28"/>
          <w14:textFill>
            <w14:solidFill>
              <w14:schemeClr w14:val="tx1"/>
            </w14:solidFill>
          </w14:textFill>
        </w:rPr>
        <w:t>省财政厅部门决算专项项目</w:t>
      </w:r>
      <w:r>
        <w:rPr>
          <w:rFonts w:hint="eastAsia" w:ascii="宋体" w:hAnsi="宋体" w:cs="宋体"/>
          <w:color w:val="000000" w:themeColor="text1"/>
          <w:sz w:val="28"/>
          <w:szCs w:val="28"/>
          <w:lang w:val="en-US" w:eastAsia="zh-CN"/>
          <w14:textFill>
            <w14:solidFill>
              <w14:schemeClr w14:val="tx1"/>
            </w14:solidFill>
          </w14:textFill>
        </w:rPr>
        <w:t>11</w:t>
      </w:r>
      <w:r>
        <w:rPr>
          <w:rFonts w:hint="eastAsia" w:ascii="宋体" w:hAnsi="宋体" w:cs="宋体"/>
          <w:color w:val="000000" w:themeColor="text1"/>
          <w:sz w:val="28"/>
          <w:szCs w:val="28"/>
          <w14:textFill>
            <w14:solidFill>
              <w14:schemeClr w14:val="tx1"/>
            </w14:solidFill>
          </w14:textFill>
        </w:rPr>
        <w:t xml:space="preserve">项，共涉及预算资金 </w:t>
      </w:r>
      <w:r>
        <w:rPr>
          <w:rFonts w:hint="eastAsia" w:ascii="宋体" w:hAnsi="宋体" w:cs="宋体"/>
          <w:color w:val="000000" w:themeColor="text1"/>
          <w:sz w:val="28"/>
          <w:szCs w:val="28"/>
          <w:lang w:val="en-US" w:eastAsia="zh-CN"/>
          <w14:textFill>
            <w14:solidFill>
              <w14:schemeClr w14:val="tx1"/>
            </w14:solidFill>
          </w14:textFill>
        </w:rPr>
        <w:t>203</w:t>
      </w:r>
      <w:r>
        <w:rPr>
          <w:rFonts w:hint="eastAsia" w:ascii="宋体" w:hAnsi="宋体" w:cs="宋体"/>
          <w:color w:val="000000" w:themeColor="text1"/>
          <w:sz w:val="28"/>
          <w:szCs w:val="28"/>
          <w14:textFill>
            <w14:solidFill>
              <w14:schemeClr w14:val="tx1"/>
            </w14:solidFill>
          </w14:textFill>
        </w:rPr>
        <w:t>万元，绩效自评覆盖率达到 100%。</w:t>
      </w:r>
    </w:p>
    <w:p>
      <w:pPr>
        <w:ind w:firstLine="640" w:firstLineChars="200"/>
        <w:rPr>
          <w:rFonts w:hint="eastAsia" w:ascii="宋体" w:hAnsi="宋体" w:cs="宋体"/>
          <w:color w:val="000000" w:themeColor="text1"/>
          <w:sz w:val="28"/>
          <w:szCs w:val="28"/>
          <w14:textFill>
            <w14:solidFill>
              <w14:schemeClr w14:val="tx1"/>
            </w14:solidFill>
          </w14:textFill>
        </w:rPr>
      </w:pPr>
      <w:r>
        <w:rPr>
          <w:rFonts w:hint="eastAsia" w:ascii="仿宋" w:hAnsi="仿宋" w:eastAsia="仿宋"/>
          <w:sz w:val="32"/>
          <w:szCs w:val="32"/>
          <w:lang w:val="en-US" w:eastAsia="zh-CN"/>
        </w:rPr>
        <w:t>3</w:t>
      </w:r>
      <w:r>
        <w:rPr>
          <w:rFonts w:hint="eastAsia" w:ascii="宋体" w:hAnsi="宋体" w:cs="宋体"/>
          <w:color w:val="000000" w:themeColor="text1"/>
          <w:sz w:val="28"/>
          <w:szCs w:val="28"/>
          <w:lang w:val="en-US" w:eastAsia="zh-CN"/>
          <w14:textFill>
            <w14:solidFill>
              <w14:schemeClr w14:val="tx1"/>
            </w14:solidFill>
          </w14:textFill>
        </w:rPr>
        <w:t>.财政评价项目绩效评价结果。无。</w:t>
      </w:r>
    </w:p>
    <w:p>
      <w:pPr>
        <w:keepNext/>
        <w:keepLines/>
        <w:snapToGrid w:val="0"/>
        <w:spacing w:line="580" w:lineRule="exact"/>
        <w:ind w:firstLine="640" w:firstLineChars="200"/>
        <w:outlineLvl w:val="1"/>
        <w:rPr>
          <w:rFonts w:ascii="仿宋" w:hAnsi="仿宋" w:eastAsia="仿宋" w:cs="Times New Roman"/>
          <w:sz w:val="32"/>
          <w:szCs w:val="32"/>
        </w:rPr>
      </w:pPr>
      <w:r>
        <w:rPr>
          <w:rFonts w:hint="eastAsia" w:ascii="仿宋" w:hAnsi="仿宋" w:eastAsia="仿宋" w:cs="Times New Roman"/>
          <w:sz w:val="32"/>
          <w:szCs w:val="32"/>
        </w:rPr>
        <w:t>七、其他重要事项的说明</w:t>
      </w:r>
    </w:p>
    <w:p>
      <w:pPr>
        <w:keepNext/>
        <w:keepLines/>
        <w:snapToGrid w:val="0"/>
        <w:spacing w:line="580" w:lineRule="exact"/>
        <w:ind w:firstLine="640" w:firstLineChars="200"/>
        <w:outlineLvl w:val="2"/>
        <w:rPr>
          <w:rFonts w:ascii="仿宋" w:hAnsi="仿宋" w:eastAsia="仿宋" w:cs="DengXian-Bold"/>
          <w:bCs/>
          <w:sz w:val="32"/>
          <w:szCs w:val="32"/>
        </w:rPr>
      </w:pPr>
      <w:r>
        <w:rPr>
          <w:rFonts w:hint="eastAsia" w:ascii="仿宋" w:hAnsi="仿宋" w:eastAsia="仿宋" w:cs="DengXian-Bold"/>
          <w:bCs/>
          <w:sz w:val="32"/>
          <w:szCs w:val="32"/>
        </w:rPr>
        <w:t>（一）机关运行经费情况</w:t>
      </w:r>
    </w:p>
    <w:p>
      <w:pPr>
        <w:adjustRightInd w:val="0"/>
        <w:snapToGrid w:val="0"/>
        <w:spacing w:line="580" w:lineRule="exact"/>
        <w:ind w:firstLine="640" w:firstLineChars="200"/>
        <w:rPr>
          <w:rFonts w:hint="default" w:ascii="仿宋_GB2312" w:hAnsi="Times New Roman" w:eastAsia="仿宋_GB2312" w:cs="DengXian-Regular"/>
          <w:sz w:val="32"/>
          <w:szCs w:val="32"/>
          <w:lang w:val="en-US" w:eastAsia="zh-CN"/>
        </w:rPr>
      </w:pPr>
      <w:r>
        <w:rPr>
          <w:rFonts w:hint="eastAsia" w:ascii="仿宋_GB2312" w:hAnsi="Times New Roman" w:eastAsia="仿宋_GB2312" w:cs="DengXian-Regular"/>
          <w:sz w:val="32"/>
          <w:szCs w:val="32"/>
        </w:rPr>
        <w:t>本部门2019年度机关运行经费支出</w:t>
      </w:r>
      <w:r>
        <w:rPr>
          <w:rFonts w:hint="eastAsia" w:ascii="仿宋_GB2312" w:hAnsi="Times New Roman" w:eastAsia="仿宋_GB2312" w:cs="DengXian-Regular"/>
          <w:sz w:val="32"/>
          <w:szCs w:val="32"/>
          <w:lang w:val="en-US" w:eastAsia="zh-CN"/>
        </w:rPr>
        <w:t>189.53</w:t>
      </w:r>
      <w:r>
        <w:rPr>
          <w:rFonts w:hint="eastAsia" w:ascii="仿宋_GB2312" w:hAnsi="Times New Roman" w:eastAsia="仿宋_GB2312" w:cs="DengXian-Regular"/>
          <w:sz w:val="32"/>
          <w:szCs w:val="32"/>
        </w:rPr>
        <w:t>万元，比2018年度增加</w:t>
      </w:r>
      <w:r>
        <w:rPr>
          <w:rFonts w:hint="eastAsia" w:ascii="仿宋_GB2312" w:hAnsi="Times New Roman" w:eastAsia="仿宋_GB2312" w:cs="DengXian-Regular"/>
          <w:sz w:val="32"/>
          <w:szCs w:val="32"/>
          <w:lang w:val="en-US" w:eastAsia="zh-CN"/>
        </w:rPr>
        <w:t>110.33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139.31</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日常工作需要</w:t>
      </w:r>
      <w:r>
        <w:rPr>
          <w:rFonts w:hint="eastAsia" w:ascii="仿宋_GB2312" w:hAnsi="Times New Roman" w:eastAsia="仿宋_GB2312" w:cs="DengXian-Regular"/>
          <w:sz w:val="32"/>
          <w:szCs w:val="32"/>
          <w:lang w:val="en-US" w:eastAsia="zh-CN"/>
        </w:rPr>
        <w:t>;比2019年初预算数增加0.17万元，主要原因为人员变动，增加支出。</w:t>
      </w:r>
    </w:p>
    <w:p>
      <w:pPr>
        <w:keepNext/>
        <w:keepLines/>
        <w:snapToGrid w:val="0"/>
        <w:spacing w:line="580" w:lineRule="exact"/>
        <w:ind w:firstLine="640" w:firstLineChars="200"/>
        <w:outlineLvl w:val="2"/>
        <w:rPr>
          <w:rFonts w:ascii="楷体_GB2312" w:hAnsi="Times New Roman" w:eastAsia="楷体_GB2312" w:cs="DengXian-Bold"/>
          <w:bCs/>
          <w:sz w:val="32"/>
          <w:szCs w:val="32"/>
        </w:rPr>
      </w:pPr>
      <w:r>
        <w:rPr>
          <w:rFonts w:hint="eastAsia" w:ascii="楷体_GB2312" w:hAnsi="Times New Roman" w:eastAsia="楷体_GB2312" w:cs="DengXian-Bold"/>
          <w:bCs/>
          <w:sz w:val="32"/>
          <w:szCs w:val="32"/>
        </w:rPr>
        <w:t>（二）政府采购情况</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本部门2019年度政府采购支出总额</w:t>
      </w:r>
      <w:r>
        <w:rPr>
          <w:rFonts w:hint="eastAsia" w:ascii="仿宋_GB2312" w:hAnsi="Times New Roman" w:eastAsia="仿宋_GB2312" w:cs="DengXian-Regular"/>
          <w:sz w:val="32"/>
          <w:szCs w:val="32"/>
          <w:lang w:val="en-US" w:eastAsia="zh-CN"/>
        </w:rPr>
        <w:t>44.75</w:t>
      </w:r>
      <w:r>
        <w:rPr>
          <w:rFonts w:hint="eastAsia" w:ascii="仿宋_GB2312" w:hAnsi="Times New Roman" w:eastAsia="仿宋_GB2312" w:cs="DengXian-Regular"/>
          <w:sz w:val="32"/>
          <w:szCs w:val="32"/>
        </w:rPr>
        <w:t>万元，从采购类型来看，</w:t>
      </w:r>
      <w:r>
        <w:rPr>
          <w:rFonts w:ascii="仿宋_GB2312" w:hAnsi="仿宋_GB2312" w:eastAsia="仿宋_GB2312" w:cs="仿宋_GB2312"/>
          <w:color w:val="000000"/>
          <w:kern w:val="0"/>
          <w:sz w:val="32"/>
          <w:szCs w:val="32"/>
          <w:lang w:bidi="ar"/>
        </w:rPr>
        <w:t>政府采购货物支出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 万元、政府采购工程支出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万元、政府采购服务支出</w:t>
      </w:r>
      <w:r>
        <w:rPr>
          <w:rFonts w:hint="eastAsia" w:ascii="仿宋_GB2312" w:hAnsi="仿宋_GB2312" w:eastAsia="仿宋_GB2312" w:cs="仿宋_GB2312"/>
          <w:color w:val="000000"/>
          <w:kern w:val="0"/>
          <w:sz w:val="32"/>
          <w:szCs w:val="32"/>
          <w:lang w:val="en-US" w:eastAsia="zh-CN" w:bidi="ar"/>
        </w:rPr>
        <w:t>44.75</w:t>
      </w:r>
      <w:r>
        <w:rPr>
          <w:rFonts w:ascii="仿宋_GB2312" w:hAnsi="仿宋_GB2312" w:eastAsia="仿宋_GB2312" w:cs="仿宋_GB2312"/>
          <w:color w:val="000000"/>
          <w:kern w:val="0"/>
          <w:sz w:val="32"/>
          <w:szCs w:val="32"/>
          <w:lang w:bidi="ar"/>
        </w:rPr>
        <w:t>万元。授予中小企业合同金</w:t>
      </w:r>
      <w:r>
        <w:rPr>
          <w:rFonts w:hint="eastAsia" w:ascii="仿宋_GB2312" w:hAnsi="仿宋_GB2312" w:eastAsia="仿宋_GB2312" w:cs="仿宋_GB2312"/>
          <w:color w:val="000000"/>
          <w:kern w:val="0"/>
          <w:sz w:val="32"/>
          <w:szCs w:val="32"/>
          <w:lang w:val="en-US" w:eastAsia="zh-CN" w:bidi="ar"/>
        </w:rPr>
        <w:t>44,75</w:t>
      </w:r>
      <w:r>
        <w:rPr>
          <w:rFonts w:ascii="仿宋_GB2312" w:hAnsi="仿宋_GB2312" w:eastAsia="仿宋_GB2312" w:cs="仿宋_GB2312"/>
          <w:color w:val="000000"/>
          <w:kern w:val="0"/>
          <w:sz w:val="32"/>
          <w:szCs w:val="32"/>
          <w:lang w:bidi="ar"/>
        </w:rPr>
        <w:t>万元，占政府采购支出总额的</w:t>
      </w:r>
      <w:r>
        <w:rPr>
          <w:rFonts w:hint="eastAsia" w:ascii="仿宋_GB2312" w:hAnsi="仿宋_GB2312" w:eastAsia="仿宋_GB2312" w:cs="仿宋_GB2312"/>
          <w:color w:val="000000"/>
          <w:kern w:val="0"/>
          <w:sz w:val="32"/>
          <w:szCs w:val="32"/>
          <w:lang w:val="en-US" w:eastAsia="zh-CN" w:bidi="ar"/>
        </w:rPr>
        <w:t>100</w:t>
      </w:r>
      <w:r>
        <w:rPr>
          <w:rFonts w:hint="eastAsia" w:ascii="仿宋_GB2312" w:hAnsi="仿宋_GB2312" w:eastAsia="仿宋_GB2312" w:cs="仿宋_GB2312"/>
          <w:color w:val="000000"/>
          <w:kern w:val="0"/>
          <w:sz w:val="32"/>
          <w:szCs w:val="32"/>
          <w:lang w:bidi="ar"/>
        </w:rPr>
        <w:t>%，</w:t>
      </w:r>
      <w:r>
        <w:rPr>
          <w:rFonts w:ascii="仿宋_GB2312" w:hAnsi="仿宋_GB2312" w:eastAsia="仿宋_GB2312" w:cs="仿宋_GB2312"/>
          <w:color w:val="000000"/>
          <w:kern w:val="0"/>
          <w:sz w:val="32"/>
          <w:szCs w:val="32"/>
          <w:lang w:bidi="ar"/>
        </w:rPr>
        <w:t>其中授予小微企业合同金额</w:t>
      </w:r>
      <w:r>
        <w:rPr>
          <w:rFonts w:hint="eastAsia" w:ascii="仿宋_GB2312" w:hAnsi="仿宋_GB2312" w:eastAsia="仿宋_GB2312" w:cs="仿宋_GB2312"/>
          <w:color w:val="000000"/>
          <w:kern w:val="0"/>
          <w:sz w:val="32"/>
          <w:szCs w:val="32"/>
          <w:lang w:val="en-US" w:eastAsia="zh-CN" w:bidi="ar"/>
        </w:rPr>
        <w:t>44.75</w:t>
      </w:r>
      <w:r>
        <w:rPr>
          <w:rFonts w:ascii="仿宋_GB2312" w:hAnsi="仿宋_GB2312" w:eastAsia="仿宋_GB2312" w:cs="仿宋_GB2312"/>
          <w:color w:val="000000"/>
          <w:kern w:val="0"/>
          <w:sz w:val="32"/>
          <w:szCs w:val="32"/>
          <w:lang w:bidi="ar"/>
        </w:rPr>
        <w:t>万元，占政府采购支出总额的</w:t>
      </w:r>
      <w:r>
        <w:rPr>
          <w:rFonts w:hint="eastAsia" w:ascii="仿宋_GB2312" w:hAnsi="仿宋_GB2312" w:eastAsia="仿宋_GB2312" w:cs="仿宋_GB2312"/>
          <w:color w:val="000000"/>
          <w:kern w:val="0"/>
          <w:sz w:val="32"/>
          <w:szCs w:val="32"/>
          <w:lang w:val="en-US" w:eastAsia="zh-CN" w:bidi="ar"/>
        </w:rPr>
        <w:t>100</w:t>
      </w:r>
      <w:r>
        <w:rPr>
          <w:rFonts w:ascii="仿宋_GB2312" w:hAnsi="仿宋_GB2312" w:eastAsia="仿宋_GB2312" w:cs="仿宋_GB2312"/>
          <w:color w:val="000000"/>
          <w:kern w:val="0"/>
          <w:sz w:val="32"/>
          <w:szCs w:val="32"/>
          <w:lang w:bidi="ar"/>
        </w:rPr>
        <w:t>%。</w:t>
      </w:r>
    </w:p>
    <w:p>
      <w:pPr>
        <w:keepNext/>
        <w:keepLines/>
        <w:snapToGrid w:val="0"/>
        <w:spacing w:line="580" w:lineRule="exact"/>
        <w:ind w:firstLine="640" w:firstLineChars="200"/>
        <w:outlineLvl w:val="2"/>
        <w:rPr>
          <w:rFonts w:ascii="仿宋" w:hAnsi="仿宋" w:eastAsia="仿宋" w:cs="DengXian-Bold"/>
          <w:bCs/>
          <w:sz w:val="32"/>
          <w:szCs w:val="32"/>
        </w:rPr>
      </w:pPr>
      <w:r>
        <w:rPr>
          <w:rFonts w:hint="eastAsia" w:ascii="仿宋" w:hAnsi="仿宋" w:eastAsia="仿宋" w:cs="DengXian-Bold"/>
          <w:bCs/>
          <w:sz w:val="32"/>
          <w:szCs w:val="32"/>
        </w:rPr>
        <w:t>（三）国有资产占用情况</w:t>
      </w:r>
      <w:bookmarkStart w:id="0" w:name="_GoBack"/>
      <w:bookmarkEnd w:id="0"/>
    </w:p>
    <w:p>
      <w:pPr>
        <w:adjustRightInd w:val="0"/>
        <w:snapToGrid w:val="0"/>
        <w:spacing w:line="580" w:lineRule="exact"/>
        <w:ind w:firstLine="640" w:firstLineChars="200"/>
        <w:rPr>
          <w:rFonts w:hint="eastAsia" w:ascii="仿宋_GB2312" w:hAnsi="Times New Roman" w:eastAsia="仿宋_GB2312" w:cs="DengXian-Regular"/>
          <w:sz w:val="32"/>
          <w:szCs w:val="32"/>
          <w:lang w:val="en-US" w:eastAsia="zh-CN"/>
        </w:rPr>
      </w:pPr>
      <w:r>
        <w:rPr>
          <w:rFonts w:hint="eastAsia" w:ascii="仿宋_GB2312" w:hAnsi="Times New Roman" w:eastAsia="仿宋_GB2312" w:cs="DengXian-Regular"/>
          <w:sz w:val="32"/>
          <w:szCs w:val="32"/>
        </w:rPr>
        <w:t>截至2019年12月31日，本部门共有车辆</w:t>
      </w:r>
      <w:r>
        <w:rPr>
          <w:rFonts w:hint="eastAsia" w:ascii="仿宋_GB2312" w:hAnsi="Times New Roman" w:eastAsia="仿宋_GB2312" w:cs="DengXian-Regular"/>
          <w:sz w:val="32"/>
          <w:szCs w:val="32"/>
          <w:lang w:val="en-US" w:eastAsia="zh-CN"/>
        </w:rPr>
        <w:t>11</w:t>
      </w:r>
      <w:r>
        <w:rPr>
          <w:rFonts w:hint="eastAsia" w:ascii="仿宋_GB2312" w:hAnsi="Times New Roman" w:eastAsia="仿宋_GB2312" w:cs="DengXian-Regular"/>
          <w:sz w:val="32"/>
          <w:szCs w:val="32"/>
        </w:rPr>
        <w:t>辆，比上年增加（减少）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8</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单位价值</w:t>
      </w:r>
      <w:r>
        <w:rPr>
          <w:rFonts w:hint="eastAsia"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 xml:space="preserve"> ，单位价值</w:t>
      </w:r>
      <w:r>
        <w:rPr>
          <w:rFonts w:hint="eastAsia"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台（套）比上年增加（减少）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2"/>
        <w:rPr>
          <w:rFonts w:ascii="仿宋" w:hAnsi="仿宋" w:eastAsia="仿宋" w:cs="DengXian-Bold"/>
          <w:bCs/>
          <w:sz w:val="32"/>
          <w:szCs w:val="32"/>
        </w:rPr>
      </w:pPr>
      <w:r>
        <w:rPr>
          <w:rFonts w:hint="eastAsia" w:ascii="仿宋" w:hAnsi="仿宋" w:eastAsia="仿宋" w:cs="DengXian-Bold"/>
          <w:bCs/>
          <w:sz w:val="32"/>
          <w:szCs w:val="32"/>
        </w:rPr>
        <w:t>（四）其他需要说明的情况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eastAsia="仿宋_GB2312" w:cs="DengXian-Regular"/>
          <w:sz w:val="32"/>
          <w:szCs w:val="32"/>
        </w:rPr>
        <w:t>1、本部门2018年度</w:t>
      </w:r>
      <w:r>
        <w:rPr>
          <w:rFonts w:hint="eastAsia" w:ascii="仿宋_GB2312" w:eastAsia="仿宋_GB2312" w:cs="DengXian-Regular"/>
          <w:sz w:val="32"/>
          <w:szCs w:val="32"/>
          <w:lang w:eastAsia="zh-CN"/>
        </w:rPr>
        <w:t>无政府性基金及国有资本经营情况，</w:t>
      </w:r>
      <w:r>
        <w:rPr>
          <w:rFonts w:hint="eastAsia" w:ascii="仿宋_GB2312" w:eastAsia="仿宋_GB2312" w:cs="DengXian-Regular"/>
          <w:sz w:val="32"/>
          <w:szCs w:val="32"/>
        </w:rPr>
        <w:t>故</w:t>
      </w:r>
      <w:r>
        <w:rPr>
          <w:rFonts w:hint="eastAsia" w:ascii="仿宋_GB2312" w:eastAsia="仿宋_GB2312" w:cs="DengXian-Regular"/>
          <w:sz w:val="32"/>
          <w:szCs w:val="32"/>
          <w:lang w:eastAsia="zh-CN"/>
        </w:rPr>
        <w:t>公开</w:t>
      </w:r>
      <w:r>
        <w:rPr>
          <w:rFonts w:hint="eastAsia" w:ascii="仿宋_GB2312" w:eastAsia="仿宋_GB2312" w:cs="DengXian-Regular"/>
          <w:sz w:val="32"/>
          <w:szCs w:val="32"/>
          <w:lang w:val="en-US" w:eastAsia="zh-CN"/>
        </w:rPr>
        <w:t>08表、公开09</w:t>
      </w:r>
      <w:r>
        <w:rPr>
          <w:rFonts w:hint="eastAsia" w:ascii="仿宋_GB2312" w:eastAsia="仿宋_GB2312" w:cs="DengXian-Regular"/>
          <w:sz w:val="32"/>
          <w:szCs w:val="32"/>
        </w:rPr>
        <w:t>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 由于决算公开表格中金额数值应当保留两位小数，公开数据为四舍五入计算结果，个别数据合计项与分项之和存在小数点后差额，特此说明。</w:t>
      </w:r>
    </w:p>
    <w:p>
      <w:pPr>
        <w:ind w:firstLine="640" w:firstLineChars="200"/>
        <w:jc w:val="left"/>
        <w:rPr>
          <w:rFonts w:ascii="仿宋_GB2312" w:hAnsi="Times New Roman" w:eastAsia="仿宋_GB2312" w:cs="DengXian-Regular"/>
          <w:sz w:val="32"/>
          <w:szCs w:val="32"/>
        </w:rPr>
      </w:pPr>
    </w:p>
    <w:p>
      <w:pPr>
        <w:ind w:firstLine="643" w:firstLineChars="200"/>
        <w:jc w:val="center"/>
        <w:rPr>
          <w:rFonts w:ascii="仿宋_GB2312" w:hAnsi="Times New Roman" w:eastAsia="仿宋_GB2312" w:cs="DengXian-Regular"/>
          <w:b/>
          <w:sz w:val="32"/>
          <w:szCs w:val="32"/>
        </w:rPr>
      </w:pPr>
      <w:r>
        <w:rPr>
          <w:rFonts w:hint="eastAsia" w:ascii="仿宋_GB2312" w:hAnsi="Times New Roman" w:eastAsia="仿宋_GB2312" w:cs="DengXian-Regular"/>
          <w:b/>
          <w:sz w:val="32"/>
          <w:szCs w:val="32"/>
        </w:rPr>
        <w:t>第三部分   名词解释</w:t>
      </w:r>
    </w:p>
    <w:p>
      <w:pPr>
        <w:ind w:firstLine="643" w:firstLineChars="200"/>
        <w:jc w:val="center"/>
        <w:rPr>
          <w:rFonts w:ascii="仿宋_GB2312" w:hAnsi="Times New Roman" w:eastAsia="仿宋_GB2312" w:cs="DengXian-Regular"/>
          <w:b/>
          <w:sz w:val="32"/>
          <w:szCs w:val="32"/>
        </w:rPr>
      </w:pP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（四）用事业基金弥补收支差额：</w:t>
      </w:r>
      <w:r>
        <w:rPr>
          <w:rFonts w:hint="eastAsia" w:ascii="仿宋_GB2312" w:hAnsi="宋体" w:eastAsia="仿宋_GB2312" w:cs="Times New Roman"/>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（十六）机关运行经费：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cs="Times New Roman"/>
          <w:b/>
          <w:bCs/>
          <w:color w:val="000000"/>
          <w:kern w:val="0"/>
          <w:sz w:val="32"/>
          <w:szCs w:val="32"/>
        </w:rPr>
        <w:t>（十七）经费形式: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Pr>
        <w:ind w:firstLine="640" w:firstLineChars="200"/>
        <w:jc w:val="left"/>
        <w:rPr>
          <w:rFonts w:ascii="仿宋_GB2312" w:hAnsi="Times New Roman" w:eastAsia="仿宋_GB2312" w:cs="DengXian-Regular"/>
          <w:sz w:val="32"/>
          <w:szCs w:val="32"/>
        </w:rPr>
      </w:pPr>
    </w:p>
    <w:p>
      <w:pPr>
        <w:ind w:firstLine="643" w:firstLineChars="200"/>
        <w:jc w:val="center"/>
        <w:rPr>
          <w:rFonts w:ascii="仿宋_GB2312" w:hAnsi="Times New Roman" w:eastAsia="仿宋_GB2312" w:cs="DengXian-Regular"/>
          <w:b/>
          <w:sz w:val="32"/>
          <w:szCs w:val="32"/>
        </w:rPr>
      </w:pPr>
      <w:r>
        <w:rPr>
          <w:rFonts w:hint="eastAsia" w:ascii="仿宋_GB2312" w:hAnsi="Times New Roman" w:eastAsia="仿宋_GB2312" w:cs="DengXian-Regular"/>
          <w:b/>
          <w:sz w:val="32"/>
          <w:szCs w:val="32"/>
        </w:rPr>
        <w:t>第四部分   2019年度部门决算报表</w:t>
      </w:r>
    </w:p>
    <w:p>
      <w:pPr>
        <w:ind w:firstLine="640" w:firstLineChars="200"/>
        <w:jc w:val="left"/>
        <w:rPr>
          <w:rFonts w:ascii="仿宋_GB2312" w:hAnsi="Times New Roman" w:eastAsia="仿宋_GB2312" w:cs="DengXian-Regular"/>
          <w:sz w:val="32"/>
          <w:szCs w:val="32"/>
        </w:rPr>
      </w:pP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1、收入支出决算总表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2、收入决算表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3、支出决算表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4、财政拨款收入支出决算总表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5、一般公共预算财政拨款支出决算表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6、一般公共预算财政拨款基本支出决算表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7、一般公共预算财政拨款“三公”经费支出决算表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8、政府性基金预算财政拨款收入支出决算表</w:t>
      </w:r>
    </w:p>
    <w:p>
      <w:pPr>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9、国有资本经营预算拨款支出决算表</w:t>
      </w:r>
    </w:p>
    <w:p>
      <w:pPr>
        <w:ind w:firstLine="640" w:firstLineChars="200"/>
        <w:jc w:val="left"/>
        <w:rPr>
          <w:rFonts w:ascii="仿宋_GB2312" w:hAnsi="Times New Roman" w:eastAsia="仿宋_GB2312" w:cs="DengXian-Regular"/>
          <w:sz w:val="32"/>
          <w:szCs w:val="32"/>
        </w:rPr>
      </w:pPr>
    </w:p>
    <w:p>
      <w:pPr>
        <w:ind w:firstLine="640" w:firstLineChars="200"/>
        <w:jc w:val="left"/>
        <w:rPr>
          <w:rFonts w:ascii="仿宋_GB2312" w:hAnsi="Times New Roman" w:eastAsia="仿宋_GB2312" w:cs="DengXian-Regular"/>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 w:name="楷体_GB2312">
    <w:altName w:val="楷体"/>
    <w:panose1 w:val="0201060903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TimesNewRomanPSMT">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4632397"/>
      <w:docPartObj>
        <w:docPartGallery w:val="autotext"/>
      </w:docPartObj>
    </w:sdtPr>
    <w:sdtContent>
      <w:p>
        <w:pPr>
          <w:pStyle w:val="4"/>
          <w:jc w:val="center"/>
        </w:pPr>
        <w:r>
          <w:fldChar w:fldCharType="begin"/>
        </w:r>
        <w:r>
          <w:instrText xml:space="preserve">PAGE   \* MERGEFORMAT</w:instrText>
        </w:r>
        <w:r>
          <w:fldChar w:fldCharType="separate"/>
        </w:r>
        <w:r>
          <w:rPr>
            <w:lang w:val="zh-CN"/>
          </w:rPr>
          <w:t>17</w:t>
        </w:r>
        <w: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892"/>
    <w:rsid w:val="00074C6B"/>
    <w:rsid w:val="000921A2"/>
    <w:rsid w:val="000B3483"/>
    <w:rsid w:val="000C4437"/>
    <w:rsid w:val="000E58D2"/>
    <w:rsid w:val="0012620C"/>
    <w:rsid w:val="00174836"/>
    <w:rsid w:val="00183EEC"/>
    <w:rsid w:val="001C560B"/>
    <w:rsid w:val="00207499"/>
    <w:rsid w:val="00211EF4"/>
    <w:rsid w:val="00254CC3"/>
    <w:rsid w:val="00263AF1"/>
    <w:rsid w:val="002B2814"/>
    <w:rsid w:val="002F26B4"/>
    <w:rsid w:val="00385C29"/>
    <w:rsid w:val="00394E6C"/>
    <w:rsid w:val="005507DE"/>
    <w:rsid w:val="0056294B"/>
    <w:rsid w:val="0057123C"/>
    <w:rsid w:val="00593C93"/>
    <w:rsid w:val="007F2892"/>
    <w:rsid w:val="00804513"/>
    <w:rsid w:val="00873F00"/>
    <w:rsid w:val="008A65B7"/>
    <w:rsid w:val="008C4133"/>
    <w:rsid w:val="00937A75"/>
    <w:rsid w:val="00AB571E"/>
    <w:rsid w:val="00AD79EA"/>
    <w:rsid w:val="00BB5F30"/>
    <w:rsid w:val="00BC0CDC"/>
    <w:rsid w:val="00BD42E4"/>
    <w:rsid w:val="00BF1E30"/>
    <w:rsid w:val="00C0273C"/>
    <w:rsid w:val="00C30865"/>
    <w:rsid w:val="00E73B01"/>
    <w:rsid w:val="00E91809"/>
    <w:rsid w:val="00F61024"/>
    <w:rsid w:val="00F65E20"/>
    <w:rsid w:val="00FA7AEC"/>
    <w:rsid w:val="00FF2DCF"/>
    <w:rsid w:val="01AA479D"/>
    <w:rsid w:val="11981926"/>
    <w:rsid w:val="12E35957"/>
    <w:rsid w:val="2B4B7F2A"/>
    <w:rsid w:val="3B5475F8"/>
    <w:rsid w:val="479573F3"/>
    <w:rsid w:val="49635CD4"/>
    <w:rsid w:val="51921F8B"/>
    <w:rsid w:val="51F16CBF"/>
    <w:rsid w:val="592F4174"/>
    <w:rsid w:val="59A5214E"/>
    <w:rsid w:val="59CB27C3"/>
    <w:rsid w:val="62E731BB"/>
    <w:rsid w:val="68694C67"/>
    <w:rsid w:val="6DE016AD"/>
    <w:rsid w:val="704735CD"/>
    <w:rsid w:val="71B85C7E"/>
    <w:rsid w:val="7C135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1"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日期 Char"/>
    <w:basedOn w:val="8"/>
    <w:link w:val="2"/>
    <w:semiHidden/>
    <w:qFormat/>
    <w:uiPriority w:val="99"/>
  </w:style>
  <w:style w:type="character" w:customStyle="1" w:styleId="12">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1031</Words>
  <Characters>5878</Characters>
  <Lines>48</Lines>
  <Paragraphs>13</Paragraphs>
  <TotalTime>1</TotalTime>
  <ScaleCrop>false</ScaleCrop>
  <LinksUpToDate>false</LinksUpToDate>
  <CharactersWithSpaces>6896</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2020-09-10T05:14:00Z</dcterms:created>
  <dc:creator>Administrator</dc:creator>
  <cp:lastModifiedBy>Administrator</cp:lastModifiedBy>
  <cp:lastPrinted>2020-09-15T05:39:00Z</cp:lastPrinted>
  <dcterms:modified xsi:type="dcterms:W3CDTF">2021-05-25T07:55:52Z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7A069112284C42E0B2353D6526EE8CD2</vt:lpwstr>
  </property>
</Properties>
</file>